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5.png" ContentType="image/png"/>
  <Override PartName="/word/media/rId72.png" ContentType="image/png"/>
  <Override PartName="/word/media/rId192.png" ContentType="image/png"/>
  <Override PartName="/word/media/rId188.png" ContentType="image/png"/>
  <Override PartName="/word/media/rId184.png" ContentType="image/png"/>
  <Override PartName="/word/media/rId196.png" ContentType="image/png"/>
  <Override PartName="/word/media/rId158.png" ContentType="image/png"/>
  <Override PartName="/word/media/rId154.png" ContentType="image/png"/>
  <Override PartName="/word/media/rId150.png" ContentType="image/png"/>
  <Override PartName="/word/media/rId162.png" ContentType="image/png"/>
  <Override PartName="/word/media/rId94.png" ContentType="image/png"/>
  <Override PartName="/word/media/rId90.png" ContentType="image/png"/>
  <Override PartName="/word/media/rId86.png" ContentType="image/png"/>
  <Override PartName="/word/media/rId98.png" ContentType="image/png"/>
  <Override PartName="/word/media/rId209.png" ContentType="image/png"/>
  <Override PartName="/word/media/rId205.png" ContentType="image/png"/>
  <Override PartName="/word/media/rId201.png" ContentType="image/png"/>
  <Override PartName="/word/media/rId213.png" ContentType="image/png"/>
  <Override PartName="/word/media/rId226.png" ContentType="image/png"/>
  <Override PartName="/word/media/rId222.png" ContentType="image/png"/>
  <Override PartName="/word/media/rId218.png" ContentType="image/png"/>
  <Override PartName="/word/media/rId230.png" ContentType="image/png"/>
  <Override PartName="/word/media/rId175.png" ContentType="image/png"/>
  <Override PartName="/word/media/rId171.png" ContentType="image/png"/>
  <Override PartName="/word/media/rId167.png" ContentType="image/png"/>
  <Override PartName="/word/media/rId179.png" ContentType="image/png"/>
  <Override PartName="/word/media/rId117.png" ContentType="image/png"/>
  <Override PartName="/word/media/rId113.png" ContentType="image/png"/>
  <Override PartName="/word/media/rId109.png" ContentType="image/png"/>
  <Override PartName="/word/media/rId121.png" ContentType="image/png"/>
  <Override PartName="/word/media/rId256.png" ContentType="image/png"/>
  <Override PartName="/word/media/rId252.png" ContentType="image/png"/>
  <Override PartName="/word/media/rId248.png" ContentType="image/png"/>
  <Override PartName="/word/media/rId260.png" ContentType="image/png"/>
  <Override PartName="/word/media/rId140.png" ContentType="image/png"/>
  <Override PartName="/word/media/rId136.png" ContentType="image/png"/>
  <Override PartName="/word/media/rId132.png" ContentType="image/png"/>
  <Override PartName="/word/media/rId144.png" ContentType="image/png"/>
  <Override PartName="/word/media/rId270.png" ContentType="image/png"/>
  <Override PartName="/word/media/rId104.png" ContentType="image/png"/>
  <Override PartName="/word/media/rId127.png" ContentType="image/png"/>
  <Override PartName="/word/media/rId81.png" ContentType="image/png"/>
  <Override PartName="/word/media/rId76.png" ContentType="image/png"/>
  <Override PartName="/word/media/rId332.png" ContentType="image/png"/>
  <Override PartName="/word/media/rId306.png" ContentType="image/png"/>
  <Override PartName="/word/media/rId302.png" ContentType="image/png"/>
  <Override PartName="/word/media/rId298.png" ContentType="image/png"/>
  <Override PartName="/word/media/rId310.png" ContentType="image/png"/>
  <Override PartName="/word/media/rId276.png" ContentType="image/png"/>
  <Override PartName="/word/media/rId289.png" ContentType="image/png"/>
  <Override PartName="/word/media/rId285.png" ContentType="image/png"/>
  <Override PartName="/word/media/rId281.png" ContentType="image/png"/>
  <Override PartName="/word/media/rId293.png" ContentType="image/png"/>
  <Override PartName="/word/media/rId323.png" ContentType="image/png"/>
  <Override PartName="/word/media/rId319.png" ContentType="image/png"/>
  <Override PartName="/word/media/rId315.png" ContentType="image/png"/>
  <Override PartName="/word/media/rId327.png" ContentType="image/png"/>
  <Override PartName="/word/media/rId38.png" ContentType="image/png"/>
  <Override PartName="/word/media/rId47.png" ContentType="image/png"/>
  <Override PartName="/word/media/rId56.png" ContentType="image/png"/>
  <Override PartName="/word/media/rId65.png" ContentType="image/png"/>
  <Override PartName="/word/media/rId34.png" ContentType="image/png"/>
  <Override PartName="/word/media/rId43.png" ContentType="image/png"/>
  <Override PartName="/word/media/rId52.png" ContentType="image/png"/>
  <Override PartName="/word/media/rId61.png" ContentType="image/png"/>
  <Override PartName="/word/media/rId23.png" ContentType="image/png"/>
  <Override PartName="/word/media/rId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Identification</w:t>
      </w:r>
      <w:r>
        <w:t xml:space="preserve"> </w:t>
      </w:r>
      <w:r>
        <w:t xml:space="preserve">des</w:t>
      </w:r>
      <w:r>
        <w:t xml:space="preserve"> </w:t>
      </w:r>
      <w:r>
        <w:t xml:space="preserve">habitats</w:t>
      </w:r>
      <w:r>
        <w:t xml:space="preserve"> </w:t>
      </w:r>
      <w:r>
        <w:t xml:space="preserve">potentiels</w:t>
      </w:r>
      <w:r>
        <w:t xml:space="preserve"> </w:t>
      </w:r>
      <w:r>
        <w:t xml:space="preserve">des</w:t>
      </w:r>
      <w:r>
        <w:t xml:space="preserve"> </w:t>
      </w:r>
      <w:r>
        <w:t xml:space="preserve">plumes</w:t>
      </w:r>
      <w:r>
        <w:t xml:space="preserve"> </w:t>
      </w:r>
      <w:r>
        <w:t xml:space="preserve">de</w:t>
      </w:r>
      <w:r>
        <w:t xml:space="preserve"> </w:t>
      </w:r>
      <w:r>
        <w:t xml:space="preserve">mer</w:t>
      </w:r>
      <w:r>
        <w:t xml:space="preserve"> </w:t>
      </w:r>
      <w:r>
        <w:t xml:space="preserve">dans</w:t>
      </w:r>
      <w:r>
        <w:t xml:space="preserve"> </w:t>
      </w:r>
      <w:r>
        <w:t xml:space="preserve">l’estuaire</w:t>
      </w:r>
      <w:r>
        <w:t xml:space="preserve"> </w:t>
      </w:r>
      <w:r>
        <w:t xml:space="preserve">maritime</w:t>
      </w:r>
      <w:r>
        <w:t xml:space="preserve"> </w:t>
      </w:r>
      <w:r>
        <w:t xml:space="preserve">et</w:t>
      </w:r>
      <w:r>
        <w:t xml:space="preserve"> </w:t>
      </w:r>
      <w:r>
        <w:t xml:space="preserve">le</w:t>
      </w:r>
      <w:r>
        <w:t xml:space="preserve"> </w:t>
      </w:r>
      <w:r>
        <w:t xml:space="preserve">golfe</w:t>
      </w:r>
      <w:r>
        <w:t xml:space="preserve"> </w:t>
      </w:r>
      <w:r>
        <w:t xml:space="preserve">du</w:t>
      </w:r>
      <w:r>
        <w:t xml:space="preserve"> </w:t>
      </w:r>
      <w:r>
        <w:t xml:space="preserve">Saint-Laurent</w:t>
      </w:r>
    </w:p>
    <w:p>
      <w:pPr>
        <w:pStyle w:val="Author"/>
      </w:pPr>
      <w:r>
        <w:t xml:space="preserve">Vincent</w:t>
      </w:r>
      <w:r>
        <w:t xml:space="preserve"> </w:t>
      </w:r>
      <w:r>
        <w:t xml:space="preserve">Bellavance</w:t>
      </w:r>
    </w:p>
    <w:p>
      <w:pPr>
        <w:pStyle w:val="Date"/>
      </w:pPr>
      <w:r>
        <w:t xml:space="preserve">3/17/23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rapport-davancement"/>
    <w:p>
      <w:pPr>
        <w:pStyle w:val="Heading1"/>
      </w:pPr>
      <w:r>
        <w:t xml:space="preserve">1. Rapport d’avancement</w:t>
      </w:r>
    </w:p>
    <w:bookmarkEnd w:id="20"/>
    <w:bookmarkStart w:id="21" w:name="résumé"/>
    <w:p>
      <w:pPr>
        <w:pStyle w:val="Heading1"/>
      </w:pPr>
      <w:r>
        <w:t xml:space="preserve">2. Résumé</w:t>
      </w:r>
    </w:p>
    <w:p>
      <w:pPr>
        <w:pStyle w:val="FirstParagraph"/>
      </w:pPr>
      <w:r>
        <w:t xml:space="preserve">Ce rapport a pour but de documenter l’avancement sur le projet d’identification de l’habitat potentiel de la plume de mer dans l’estuaire maritime et le golfe du Saint-Laurent et se décline en trois parties:</w:t>
      </w:r>
    </w:p>
    <w:p>
      <w:pPr>
        <w:numPr>
          <w:ilvl w:val="0"/>
          <w:numId w:val="1001"/>
        </w:numPr>
      </w:pPr>
      <w:hyperlink w:anchor="sec-occ">
        <w:r>
          <w:rPr>
            <w:rStyle w:val="Hyperlink"/>
          </w:rPr>
          <w:t xml:space="preserve">Les données d’occurrence de plumes de mer</w:t>
        </w:r>
      </w:hyperlink>
    </w:p>
    <w:p>
      <w:pPr>
        <w:numPr>
          <w:ilvl w:val="1"/>
          <w:numId w:val="1002"/>
        </w:numPr>
        <w:pStyle w:val="Compact"/>
      </w:pPr>
      <w:r>
        <w:t xml:space="preserve">Sources des données</w:t>
      </w:r>
    </w:p>
    <w:p>
      <w:pPr>
        <w:numPr>
          <w:ilvl w:val="1"/>
          <w:numId w:val="1002"/>
        </w:numPr>
        <w:pStyle w:val="Compact"/>
      </w:pPr>
      <w:r>
        <w:t xml:space="preserve">Traitement des données</w:t>
      </w:r>
    </w:p>
    <w:p>
      <w:pPr>
        <w:numPr>
          <w:ilvl w:val="1"/>
          <w:numId w:val="1002"/>
        </w:numPr>
        <w:pStyle w:val="Compact"/>
      </w:pPr>
      <w:r>
        <w:t xml:space="preserve">Cartes des occurrence pour chaque espèce</w:t>
      </w:r>
    </w:p>
    <w:p>
      <w:pPr>
        <w:numPr>
          <w:ilvl w:val="0"/>
          <w:numId w:val="1001"/>
        </w:numPr>
      </w:pPr>
      <w:hyperlink w:anchor="variables-environnementales">
        <w:r>
          <w:rPr>
            <w:rStyle w:val="Hyperlink"/>
          </w:rPr>
          <w:t xml:space="preserve">Les variables environnementales</w:t>
        </w:r>
      </w:hyperlink>
    </w:p>
    <w:p>
      <w:pPr>
        <w:numPr>
          <w:ilvl w:val="1"/>
          <w:numId w:val="1003"/>
        </w:numPr>
        <w:pStyle w:val="Compact"/>
      </w:pPr>
      <w:r>
        <w:t xml:space="preserve">Variables environnementales potentielles à utiliser dans les modèles.</w:t>
      </w:r>
    </w:p>
    <w:p>
      <w:pPr>
        <w:numPr>
          <w:ilvl w:val="1"/>
          <w:numId w:val="1003"/>
        </w:numPr>
        <w:pStyle w:val="Compact"/>
      </w:pPr>
      <w:r>
        <w:t xml:space="preserve">Liste d’articles sur la distribution de la plume de mer avec la liste de variables environnementales associées à sa présence.</w:t>
      </w:r>
    </w:p>
    <w:p>
      <w:pPr>
        <w:numPr>
          <w:ilvl w:val="1"/>
          <w:numId w:val="1003"/>
        </w:numPr>
        <w:pStyle w:val="Compact"/>
      </w:pPr>
      <w:r>
        <w:t xml:space="preserve">Liste des données à considérer pour la modélisation de l’habitat potentiel de la plume de mer dans l’estuaire et le golfe du Saint-Laurent.</w:t>
      </w:r>
    </w:p>
    <w:p>
      <w:pPr>
        <w:numPr>
          <w:ilvl w:val="0"/>
          <w:numId w:val="1001"/>
        </w:numPr>
      </w:pPr>
      <w:hyperlink w:anchor="sec-model">
        <w:r>
          <w:rPr>
            <w:rStyle w:val="Hyperlink"/>
          </w:rPr>
          <w:t xml:space="preserve">Choix des modèles qui serviront à identifier l’habitat potentiel de la plume de mer</w:t>
        </w:r>
      </w:hyperlink>
    </w:p>
    <w:p>
      <w:pPr>
        <w:numPr>
          <w:ilvl w:val="1"/>
          <w:numId w:val="1004"/>
        </w:numPr>
        <w:pStyle w:val="Compact"/>
      </w:pPr>
      <w:r>
        <w:t xml:space="preserve">Modèles choisies pour les données de présences-absences et de biomasse</w:t>
      </w:r>
    </w:p>
    <w:p>
      <w:pPr>
        <w:numPr>
          <w:ilvl w:val="1"/>
          <w:numId w:val="1004"/>
        </w:numPr>
        <w:pStyle w:val="Compact"/>
      </w:pPr>
      <w:r>
        <w:t xml:space="preserve">Outil utiliser pour construire les modèles.</w:t>
      </w:r>
    </w:p>
    <w:bookmarkEnd w:id="21"/>
    <w:bookmarkStart w:id="71" w:name="sec-occ"/>
    <w:p>
      <w:pPr>
        <w:pStyle w:val="Heading1"/>
      </w:pPr>
      <w:r>
        <w:t xml:space="preserve">3. Données d’occurrences</w:t>
      </w:r>
    </w:p>
    <w:bookmarkStart w:id="32" w:name="sources-de-données"/>
    <w:p>
      <w:pPr>
        <w:pStyle w:val="Heading2"/>
      </w:pPr>
      <w:r>
        <w:t xml:space="preserve">3.1 Sources de données</w:t>
      </w:r>
    </w:p>
    <w:p>
      <w:pPr>
        <w:pStyle w:val="FirstParagraph"/>
      </w:pPr>
      <w:r>
        <w:t xml:space="preserve">Les données d’occurrences des plumes de mer proviennent de deux sources:</w:t>
      </w:r>
    </w:p>
    <w:p>
      <w:pPr>
        <w:numPr>
          <w:ilvl w:val="0"/>
          <w:numId w:val="1005"/>
        </w:numPr>
        <w:pStyle w:val="Compact"/>
      </w:pPr>
      <w:hyperlink r:id="rId22">
        <w:r>
          <w:rPr>
            <w:rStyle w:val="Hyperlink"/>
          </w:rPr>
          <w:t xml:space="preserve">Relevé au chalut par navire de recherche de poisson de fond de la Division 4T de l’OPANO. Ces données ont été récoltées de 1970 à 2021.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" w:name="fig-4t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./figures/sampling_4t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3.1: Localisation des points d’échantillonnages lors du relevé au chalut par navire de recherche de poisson de fond de la Division 4T de l’OPANO</w:t>
            </w:r>
          </w:p>
          <w:bookmarkEnd w:id="26"/>
        </w:tc>
      </w:tr>
    </w:tbl>
    <w:p>
      <w:pPr>
        <w:numPr>
          <w:ilvl w:val="0"/>
          <w:numId w:val="1006"/>
        </w:numPr>
        <w:pStyle w:val="Compact"/>
      </w:pPr>
      <w:hyperlink r:id="rId27">
        <w:r>
          <w:rPr>
            <w:rStyle w:val="Hyperlink"/>
          </w:rPr>
          <w:t xml:space="preserve">Relevé multidisciplinaire de poissons de fond et de crevette d’août dans l’estuaire et le nord du golfe du Saint-Laurent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" w:name="fig-teleost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./figures/sampling_teleost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3.2: Localisation des points d’échantillonnages lors du relevé multidisciplinaire de poissons de fond et de crevette d’août dans l’estuaire et le nord du golfe du Saint-Laurent de 2004 à 2021 effectué à bord du NGCC Teleost</w:t>
            </w:r>
          </w:p>
          <w:bookmarkEnd w:id="31"/>
        </w:tc>
      </w:tr>
    </w:tbl>
    <w:p>
      <w:pPr>
        <w:pStyle w:val="BodyText"/>
      </w:pPr>
      <w:r>
        <w:t xml:space="preserve">Il y a également d’autres relevés disponibles qui ont été réalisés sur d’autres navires pour le partie nord du golfe du Saint-Laurent:</w:t>
      </w:r>
    </w:p>
    <w:p>
      <w:pPr>
        <w:numPr>
          <w:ilvl w:val="0"/>
          <w:numId w:val="1007"/>
        </w:numPr>
      </w:pPr>
      <w:r>
        <w:t xml:space="preserve">NM Gadus Atlantica (1978-1994)</w:t>
      </w:r>
    </w:p>
    <w:p>
      <w:pPr>
        <w:numPr>
          <w:ilvl w:val="0"/>
          <w:numId w:val="1007"/>
        </w:numPr>
      </w:pPr>
      <w:r>
        <w:t xml:space="preserve">NM Lady Hammond (1984-1990)</w:t>
      </w:r>
    </w:p>
    <w:p>
      <w:pPr>
        <w:numPr>
          <w:ilvl w:val="0"/>
          <w:numId w:val="1007"/>
        </w:numPr>
      </w:pPr>
      <w:r>
        <w:t xml:space="preserve">NGCC Alfred Needler (1990-2005)</w:t>
      </w:r>
    </w:p>
    <w:p>
      <w:pPr>
        <w:pStyle w:val="FirstParagraph"/>
      </w:pPr>
      <w:r>
        <w:t xml:space="preserve">Par contre, il est spécifié que la qualité des données s’est améliorée au fil du temps et que les données ne sont pas directement comparables entre ces différents relevés.</w:t>
      </w:r>
    </w:p>
    <w:bookmarkEnd w:id="32"/>
    <w:bookmarkStart w:id="33" w:name="sec-abs"/>
    <w:p>
      <w:pPr>
        <w:pStyle w:val="Heading2"/>
      </w:pPr>
      <w:r>
        <w:t xml:space="preserve">3.2 Inférence des absences</w:t>
      </w:r>
    </w:p>
    <w:p>
      <w:pPr>
        <w:pStyle w:val="FirstParagraph"/>
      </w:pPr>
      <w:r>
        <w:t xml:space="preserve">Les jeux de données utilisés contiennent l’identification de toutes les espèces récoltées à chacun des traits de pêche.</w:t>
      </w:r>
      <w:r>
        <w:t xml:space="preserve"> </w:t>
      </w:r>
      <w:r>
        <w:t xml:space="preserve">Il est donc possible d’inférer les absences d’une espèce pour chaque trait de pêche où celle-ci n’a pas été identifiée.</w:t>
      </w:r>
      <w:r>
        <w:t xml:space="preserve"> </w:t>
      </w:r>
      <w:r>
        <w:t xml:space="preserve">Ces absences ne sont évidemment pas parfaites pour plusieurs raisons (e.g. problèmes d’identification, non-détection alors que l’espèce est bien présente), mais elles amènent sont tout de même utile lors de la modélisation des aires de distribution d’espèces</w:t>
      </w:r>
      <w:r>
        <w:t xml:space="preserve"> </w:t>
      </w:r>
      <w:r>
        <w:t xml:space="preserve">(Lobo, Jiménez-Valverde, and Hortal 2010)</w:t>
      </w:r>
      <w:r>
        <w:t xml:space="preserve">.</w:t>
      </w:r>
      <w:r>
        <w:t xml:space="preserve"> </w:t>
      </w:r>
      <w:r>
        <w:t xml:space="preserve">Nous avons donc inférer les absences pour les quatres espèces se situant dans l’estuaire et le golfe du Saint-Laurent:</w:t>
      </w:r>
    </w:p>
    <w:p>
      <w:pPr>
        <w:numPr>
          <w:ilvl w:val="0"/>
          <w:numId w:val="1008"/>
        </w:numPr>
      </w:pPr>
      <w:r>
        <w:rPr>
          <w:iCs/>
          <w:i/>
        </w:rPr>
        <w:t xml:space="preserve">Anthoptilum grandiflorum</w:t>
      </w:r>
    </w:p>
    <w:p>
      <w:pPr>
        <w:numPr>
          <w:ilvl w:val="0"/>
          <w:numId w:val="1008"/>
        </w:numPr>
      </w:pPr>
      <w:r>
        <w:rPr>
          <w:iCs/>
          <w:i/>
        </w:rPr>
        <w:t xml:space="preserve">Balticina finmarchica</w:t>
      </w:r>
    </w:p>
    <w:p>
      <w:pPr>
        <w:numPr>
          <w:ilvl w:val="0"/>
          <w:numId w:val="1008"/>
        </w:numPr>
      </w:pPr>
      <w:r>
        <w:rPr>
          <w:iCs/>
          <w:i/>
        </w:rPr>
        <w:t xml:space="preserve">Pennatula aculeata</w:t>
      </w:r>
    </w:p>
    <w:p>
      <w:pPr>
        <w:numPr>
          <w:ilvl w:val="0"/>
          <w:numId w:val="1008"/>
        </w:numPr>
      </w:pPr>
      <w:r>
        <w:rPr>
          <w:iCs/>
          <w:i/>
        </w:rPr>
        <w:t xml:space="preserve">Ptilella grandis</w:t>
      </w:r>
    </w:p>
    <w:bookmarkEnd w:id="33"/>
    <w:bookmarkStart w:id="70" w:name="cartes-des-données-doccurrences"/>
    <w:p>
      <w:pPr>
        <w:pStyle w:val="Heading2"/>
      </w:pPr>
      <w:r>
        <w:t xml:space="preserve">3.3 Cartes des données d’occurrences</w:t>
      </w:r>
    </w:p>
    <w:bookmarkStart w:id="42" w:name="anthoptilum-grandiflorum"/>
    <w:p>
      <w:pPr>
        <w:pStyle w:val="Heading3"/>
      </w:pPr>
      <w:r>
        <w:t xml:space="preserve">3.3.1</w:t>
      </w:r>
      <w:r>
        <w:t xml:space="preserve"> </w:t>
      </w:r>
      <w:r>
        <w:rPr>
          <w:iCs/>
          <w:i/>
        </w:rPr>
        <w:t xml:space="preserve">Anthoptilum grandiflorum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37" w:name="fig-pres_angr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3473009"/>
                        <wp:effectExtent b="0" l="0" r="0" t="0"/>
                        <wp:docPr descr="" title="" id="35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figures/presence_anthoptilum_grandiflorum.png" id="36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34730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Figure 3.3: Données de présence d’Anthoptilum grandiflorum dans l’estuaire maritime et le golfe du Saint-Laurent</w:t>
                  </w:r>
                </w:p>
                <w:bookmarkEnd w:id="37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jc w:val="center"/>
            </w:pPr>
            <w:r>
              <w:t xml:space="preserve"> 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41" w:name="fig-pres_abs_angr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3473009"/>
                        <wp:effectExtent b="0" l="0" r="0" t="0"/>
                        <wp:docPr descr="" title="" id="39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figures/presence_absence_anthoptilum_grandiflorum.png" id="40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34730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Figure 3.4: Données de présences-absences d’Anthoptilum grandiflorum dans l’estuaire maritime et le golfe du Saint-Laurent</w:t>
                  </w:r>
                </w:p>
                <w:bookmarkEnd w:id="41"/>
              </w:tc>
            </w:tr>
          </w:tbl>
          <w:p/>
        </w:tc>
      </w:tr>
    </w:tbl>
    <w:bookmarkEnd w:id="42"/>
    <w:bookmarkStart w:id="51" w:name="balticina-finmarchica"/>
    <w:p>
      <w:pPr>
        <w:pStyle w:val="Heading3"/>
      </w:pPr>
      <w:r>
        <w:t xml:space="preserve">3.3.2</w:t>
      </w:r>
      <w:r>
        <w:t xml:space="preserve"> </w:t>
      </w:r>
      <w:r>
        <w:rPr>
          <w:iCs/>
          <w:i/>
        </w:rPr>
        <w:t xml:space="preserve">Balticina finmarchica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46" w:name="fig-pres_bafi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3473009"/>
                        <wp:effectExtent b="0" l="0" r="0" t="0"/>
                        <wp:docPr descr="" title="" id="44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figures/presence_balticina_finmarchica.png" id="45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34730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Figure 3.5: Données de présence de Balticina finmarchica dans l’estuaire maritime et le golfe du Saint-Laurent</w:t>
                  </w:r>
                </w:p>
                <w:bookmarkEnd w:id="46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jc w:val="center"/>
            </w:pPr>
            <w:r>
              <w:t xml:space="preserve"> 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50" w:name="fig-pres_abs_bafi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3473009"/>
                        <wp:effectExtent b="0" l="0" r="0" t="0"/>
                        <wp:docPr descr="" title="" id="48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figures/presence_absence_balticina_finmarchica.png" id="49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34730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Figure 3.6: Données de présences-absences de Balticina finmarchica dans l’estuaire maritime et le golfe du Saint-Laurent</w:t>
                  </w:r>
                </w:p>
                <w:bookmarkEnd w:id="50"/>
              </w:tc>
            </w:tr>
          </w:tbl>
          <w:p/>
        </w:tc>
      </w:tr>
    </w:tbl>
    <w:bookmarkEnd w:id="51"/>
    <w:bookmarkStart w:id="60" w:name="pennatula-aculeata"/>
    <w:p>
      <w:pPr>
        <w:pStyle w:val="Heading3"/>
      </w:pPr>
      <w:r>
        <w:t xml:space="preserve">3.3.3</w:t>
      </w:r>
      <w:r>
        <w:t xml:space="preserve"> </w:t>
      </w:r>
      <w:r>
        <w:rPr>
          <w:iCs/>
          <w:i/>
        </w:rPr>
        <w:t xml:space="preserve">Pennatula aculeata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55" w:name="fig-pres_peac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3473009"/>
                        <wp:effectExtent b="0" l="0" r="0" t="0"/>
                        <wp:docPr descr="" title="" id="53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figures/presence_pennatula_aculeata.png" id="54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34730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Figure 3.7: Données de présence de Pennatula aculeata dans l’estuaire maritime et le golfe du Saint-Laurent</w:t>
                  </w:r>
                </w:p>
                <w:bookmarkEnd w:id="55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jc w:val="center"/>
            </w:pPr>
            <w:r>
              <w:t xml:space="preserve"> 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59" w:name="fig-pres_abs_peac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3473009"/>
                        <wp:effectExtent b="0" l="0" r="0" t="0"/>
                        <wp:docPr descr="" title="" id="57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figures/presence_absence_pennatula_aculeata.png" id="58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34730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Figure 3.8: Données de présences-absences de Pennatula aculeata dans l’estuaire maritime et le golfe du Saint-Laurent</w:t>
                  </w:r>
                </w:p>
                <w:bookmarkEnd w:id="59"/>
              </w:tc>
            </w:tr>
          </w:tbl>
          <w:p/>
        </w:tc>
      </w:tr>
    </w:tbl>
    <w:bookmarkEnd w:id="60"/>
    <w:bookmarkStart w:id="69" w:name="ptilella-grandis"/>
    <w:p>
      <w:pPr>
        <w:pStyle w:val="Heading3"/>
      </w:pPr>
      <w:r>
        <w:t xml:space="preserve">3.3.4</w:t>
      </w:r>
      <w:r>
        <w:t xml:space="preserve"> </w:t>
      </w:r>
      <w:r>
        <w:rPr>
          <w:iCs/>
          <w:i/>
        </w:rPr>
        <w:t xml:space="preserve">Ptilella grandis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64" w:name="fig-pres_ptgr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3473009"/>
                        <wp:effectExtent b="0" l="0" r="0" t="0"/>
                        <wp:docPr descr="" title="" id="62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figures/presence_ptilella_grandis.png" id="63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6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34730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Figure 3.9: Données de présence de Ptilella grandis dans l’estuaire maritime et le golfe du Saint-Laurent</w:t>
                  </w:r>
                </w:p>
                <w:bookmarkEnd w:id="64"/>
              </w:tc>
            </w:tr>
          </w:tbl>
          <w:p/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jc w:val="center"/>
            </w:pPr>
            <w:r>
              <w:t xml:space="preserve"> 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tbl>
            <w:tblPr>
              <w:tblStyle w:val="Table"/>
              <w:tblW w:type="pct" w:w="500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bookmarkStart w:id="68" w:name="fig-pres_abs_ptgr"/>
                <w:p>
                  <w:pPr>
                    <w:pStyle w:val="Figure"/>
                    <w:jc w:val="center"/>
                    <w:jc w:val="center"/>
                  </w:pPr>
                  <w:r>
                    <w:drawing>
                      <wp:inline>
                        <wp:extent cx="5334000" cy="3473009"/>
                        <wp:effectExtent b="0" l="0" r="0" t="0"/>
                        <wp:docPr descr="" title="" id="66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./figures/presence_absence_ptilella_grandis.png" id="67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6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34000" cy="34730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jc w:val="center"/>
                  </w:pPr>
                  <w:pPr>
                    <w:jc w:val="start"/>
                    <w:spacing w:before="200"/>
                    <w:pStyle w:val="ImageCaption"/>
                  </w:pPr>
                  <w:r>
                    <w:t xml:space="preserve">Figure 3.10: Données de présences-absences de Ptilella grandis dans l’estuaire maritime et le golfe du Saint-Laurent</w:t>
                  </w:r>
                </w:p>
                <w:bookmarkEnd w:id="68"/>
              </w:tc>
            </w:tr>
          </w:tbl>
          <w:p/>
        </w:tc>
      </w:tr>
    </w:tbl>
    <w:bookmarkEnd w:id="69"/>
    <w:bookmarkEnd w:id="70"/>
    <w:bookmarkEnd w:id="71"/>
    <w:bookmarkStart w:id="275" w:name="variables-du-fond-marin"/>
    <w:p>
      <w:pPr>
        <w:pStyle w:val="Heading1"/>
      </w:pPr>
      <w:r>
        <w:t xml:space="preserve">4. Variables du fond marin</w:t>
      </w:r>
    </w:p>
    <w:bookmarkStart w:id="80" w:name="sec-bathy"/>
    <w:p>
      <w:pPr>
        <w:pStyle w:val="Heading2"/>
      </w:pPr>
      <w:r>
        <w:t xml:space="preserve">4.1 Bathymétrie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GEBCO Compilation Group (2022) GEBCO_2022 Grid (doi:10.5285/e0f0bb80-ab44-2739-e053-6c86abc0289c)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15 secondes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2022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5" w:name="fig-bathy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73" name="Picture"/>
                  <a:graphic>
                    <a:graphicData uri="http://schemas.openxmlformats.org/drawingml/2006/picture">
                      <pic:pic>
                        <pic:nvPicPr>
                          <pic:cNvPr descr="./figures/env_bathy.png" id="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4.1: Données de bathymétrie du GEBCO (m)</w:t>
            </w:r>
          </w:p>
          <w:bookmarkEnd w:id="75"/>
        </w:tc>
      </w:tr>
    </w:tbl>
    <w:p>
      <w:pPr>
        <w:pStyle w:val="BodyText"/>
      </w:pPr>
      <w:r>
        <w:t xml:space="preserve">Les données de pente ont été calculées les données de bathymétrie et la fonction</w:t>
      </w:r>
      <w:r>
        <w:t xml:space="preserve"> </w:t>
      </w:r>
      <w:r>
        <w:rPr>
          <w:rStyle w:val="VerbatimChar"/>
        </w:rPr>
        <w:t xml:space="preserve">terrain</w:t>
      </w:r>
      <w:r>
        <w:t xml:space="preserve"> </w:t>
      </w:r>
      <w:r>
        <w:t xml:space="preserve">du paquet R</w:t>
      </w:r>
      <w:r>
        <w:t xml:space="preserve"> </w:t>
      </w:r>
      <w:r>
        <w:rPr>
          <w:rStyle w:val="VerbatimChar"/>
        </w:rPr>
        <w:t xml:space="preserve">terra</w:t>
      </w:r>
      <w:r>
        <w:t xml:space="preserve"> </w:t>
      </w:r>
      <w:r>
        <w:t xml:space="preserve">(Hijmans 2023)</w:t>
      </w: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slop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./figures/env_slope.pn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4.2: Données de pente calculées avec la bathymétrie (degrés)</w:t>
            </w:r>
          </w:p>
          <w:bookmarkEnd w:id="79"/>
        </w:tc>
      </w:tr>
    </w:tbl>
    <w:bookmarkEnd w:id="80"/>
    <w:bookmarkStart w:id="103" w:name="sec-oxy"/>
    <w:p>
      <w:pPr>
        <w:pStyle w:val="Heading2"/>
      </w:pPr>
      <w:r>
        <w:t xml:space="preserve">4.2 Oxygène dissous dans les eaux de fond</w:t>
      </w:r>
    </w:p>
    <w:p>
      <w:pPr>
        <w:pStyle w:val="FirstParagraph"/>
      </w:pPr>
      <w:r>
        <w:t xml:space="preserve">Deux sources de données sont disponibles pour l’oxygène dissous dans les eaux de fond:</w:t>
      </w:r>
    </w:p>
    <w:p>
      <w:pPr>
        <w:numPr>
          <w:ilvl w:val="0"/>
          <w:numId w:val="1009"/>
        </w:numPr>
      </w:pPr>
      <w:r>
        <w:t xml:space="preserve">Pêches et Océans Canada</w:t>
      </w:r>
    </w:p>
    <w:p>
      <w:pPr>
        <w:numPr>
          <w:ilvl w:val="0"/>
          <w:numId w:val="1009"/>
        </w:numPr>
      </w:pPr>
      <w:r>
        <w:t xml:space="preserve">Bio-Oracle</w:t>
      </w:r>
    </w:p>
    <w:bookmarkStart w:id="85" w:name="pêches-et-océans-canada"/>
    <w:p>
      <w:pPr>
        <w:pStyle w:val="Heading3"/>
      </w:pPr>
      <w:r>
        <w:t xml:space="preserve">4.2.1 Pêches et Océans Canada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Blais, M. et al. Chemical and Biological Oceanographic Conditions in the Estuary and Gulf of St. Lawrence during 2017. DFO Can. Sci. Advis. Sec. Res. Doc. 2019/009. Iv + 56 p. iv + 56 p. (2019).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1km²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2017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4" w:name="fig-oxy_sat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82" name="Picture"/>
                  <a:graphic>
                    <a:graphicData uri="http://schemas.openxmlformats.org/drawingml/2006/picture">
                      <pic:pic>
                        <pic:nvPicPr>
                          <pic:cNvPr descr="./figures/env_sat.png" id="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4.3: Saturation d’oxygène moyenne des eaux de fond</w:t>
            </w:r>
          </w:p>
          <w:bookmarkEnd w:id="84"/>
        </w:tc>
      </w:tr>
    </w:tbl>
    <w:bookmarkEnd w:id="85"/>
    <w:bookmarkStart w:id="102" w:name="bio-oracle"/>
    <w:p>
      <w:pPr>
        <w:pStyle w:val="Heading3"/>
      </w:pPr>
      <w:r>
        <w:t xml:space="preserve">4.2.2 Bio-Oracle</w:t>
      </w:r>
    </w:p>
    <w:p>
      <w:pPr>
        <w:pStyle w:val="FirstParagraph"/>
      </w:pPr>
      <w:r>
        <w:t xml:space="preserve">Les données de Bio-Oracle permettent d’avoir des données sur l’oxygène dissous minimal, maximal et moyen dans les eaux de fond à une profondeur moyenne.</w:t>
      </w:r>
    </w:p>
    <w:p>
      <w:pPr>
        <w:pStyle w:val="BodyText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 à 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9" w:name="fig-bo-oxy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dissolved_oxygen_min.pn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4.4: Minimum d’oxygène dissous dans les eaux de fond (mol.m</w:t>
            </w:r>
            <w:r>
              <w:rPr>
                <w:vertAlign w:val="superscript"/>
              </w:rPr>
              <w:t xml:space="preserve">-3</w:t>
            </w:r>
            <w:r>
              <w:t xml:space="preserve">)</w:t>
            </w:r>
          </w:p>
          <w:bookmarkEnd w:id="8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bo-oxy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dissolved_oxygen_mean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4.5: Moyenne d’oxygène dissous dans les eaux de fond (mol.m</w:t>
            </w:r>
            <w:r>
              <w:rPr>
                <w:vertAlign w:val="superscript"/>
              </w:rPr>
              <w:t xml:space="preserve">-3</w:t>
            </w:r>
            <w:r>
              <w:t xml:space="preserve">)</w:t>
            </w:r>
          </w:p>
          <w:bookmarkEnd w:id="9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bo-oxy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dissolved_oxygen_max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4.6: Maximum d’oxygène dissous dans les eaux de fond (mol.m</w:t>
            </w:r>
            <w:r>
              <w:rPr>
                <w:vertAlign w:val="superscript"/>
              </w:rPr>
              <w:t xml:space="preserve">-3</w:t>
            </w:r>
            <w:r>
              <w:t xml:space="preserve">)</w:t>
            </w:r>
          </w:p>
          <w:bookmarkEnd w:id="9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1" w:name="fig-bo-oxy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dissolved_oxygen_range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4.7: Étendue des valeurs d’oxygène dissous dans les eaux de fond (mol.m</w:t>
            </w:r>
            <w:r>
              <w:rPr>
                <w:vertAlign w:val="superscript"/>
              </w:rPr>
              <w:t xml:space="preserve">-3</w:t>
            </w:r>
            <w:r>
              <w:t xml:space="preserve">)</w:t>
            </w:r>
          </w:p>
          <w:bookmarkEnd w:id="101"/>
        </w:tc>
      </w:tr>
    </w:tbl>
    <w:bookmarkEnd w:id="102"/>
    <w:bookmarkEnd w:id="103"/>
    <w:bookmarkStart w:id="126" w:name="sec-sal"/>
    <w:p>
      <w:pPr>
        <w:pStyle w:val="Heading2"/>
      </w:pPr>
      <w:r>
        <w:t xml:space="preserve">4.3 Salinité des eaux de fond</w:t>
      </w:r>
    </w:p>
    <w:p>
      <w:pPr>
        <w:pStyle w:val="FirstParagraph"/>
      </w:pPr>
      <w:r>
        <w:t xml:space="preserve">Deux sources de données sont disponibles pour la salinité des eaux de fond:</w:t>
      </w:r>
    </w:p>
    <w:p>
      <w:pPr>
        <w:numPr>
          <w:ilvl w:val="0"/>
          <w:numId w:val="1010"/>
        </w:numPr>
      </w:pPr>
      <w:r>
        <w:t xml:space="preserve">Pêches et Océans Canada</w:t>
      </w:r>
    </w:p>
    <w:p>
      <w:pPr>
        <w:numPr>
          <w:ilvl w:val="0"/>
          <w:numId w:val="1010"/>
        </w:numPr>
      </w:pPr>
      <w:r>
        <w:t xml:space="preserve">Bio-Oracle</w:t>
      </w:r>
    </w:p>
    <w:bookmarkStart w:id="108" w:name="pêches-et-océans-canada-1"/>
    <w:p>
      <w:pPr>
        <w:pStyle w:val="Heading3"/>
      </w:pPr>
      <w:r>
        <w:t xml:space="preserve">4.3.1 Pêches et Océans Canada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Pêches et Océans Canada (2022). Température et salinité au fond dans l’estuaire et le golfe du St-Laurent. Pêches et Océans Canada. https://ouvert.canada.ca/data/fr/dataset/10987662-c496-4ba8-a6b9-21cb5a134da2.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1km²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2011 à 2020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7" w:name="fig-sal_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05" name="Picture"/>
                  <a:graphic>
                    <a:graphicData uri="http://schemas.openxmlformats.org/drawingml/2006/picture">
                      <pic:pic>
                        <pic:nvPicPr>
                          <pic:cNvPr descr="./figures/env_mean_salinity.png" id="10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4.8: Salinité moyenne des eaux de fond</w:t>
            </w:r>
          </w:p>
          <w:bookmarkEnd w:id="107"/>
        </w:tc>
      </w:tr>
    </w:tbl>
    <w:bookmarkEnd w:id="108"/>
    <w:bookmarkStart w:id="125" w:name="bio-oracle-1"/>
    <w:p>
      <w:pPr>
        <w:pStyle w:val="Heading3"/>
      </w:pPr>
      <w:r>
        <w:t xml:space="preserve">4.3.2 Bio-Oracle</w:t>
      </w:r>
    </w:p>
    <w:p>
      <w:pPr>
        <w:pStyle w:val="FirstParagraph"/>
      </w:pPr>
      <w:r>
        <w:t xml:space="preserve">Les données de Bio-Oracle permettent d’avoir des données sur la salinité minimale, maximale et moyenne dans les eaux de fond à une profondeur moyenne.</w:t>
      </w:r>
    </w:p>
    <w:p>
      <w:pPr>
        <w:pStyle w:val="BodyText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2" w:name="fig-bo-sal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10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salinity_min.png" id="11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4.9: Salinité minimale des eaux de fond (PSS)</w:t>
            </w:r>
          </w:p>
          <w:bookmarkEnd w:id="11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6" w:name="fig-bo-sal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14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salinity_mean.png" id="11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4.10: Salinité moyenne dissous des eaux de fond (PSS)</w:t>
            </w:r>
          </w:p>
          <w:bookmarkEnd w:id="11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0" w:name="fig-bo-sal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18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salinity_max.png" id="11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4.11: Salinité maximale dissous des eaux de fond (PSS)</w:t>
            </w:r>
          </w:p>
          <w:bookmarkEnd w:id="12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4" w:name="fig-bo-sal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22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salinity_range.png" id="1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4.12: Étendue des valeurs de salinité des eaux de fond (PSS)</w:t>
            </w:r>
          </w:p>
          <w:bookmarkEnd w:id="124"/>
        </w:tc>
      </w:tr>
    </w:tbl>
    <w:bookmarkEnd w:id="125"/>
    <w:bookmarkEnd w:id="126"/>
    <w:bookmarkStart w:id="149" w:name="sec-temp"/>
    <w:p>
      <w:pPr>
        <w:pStyle w:val="Heading2"/>
      </w:pPr>
      <w:r>
        <w:t xml:space="preserve">4.4 Température des eaux de fond</w:t>
      </w:r>
    </w:p>
    <w:p>
      <w:pPr>
        <w:pStyle w:val="FirstParagraph"/>
      </w:pPr>
      <w:r>
        <w:t xml:space="preserve">Deux sources de données sont disponibles pour la salinité des eaux de fond:</w:t>
      </w:r>
    </w:p>
    <w:p>
      <w:pPr>
        <w:numPr>
          <w:ilvl w:val="0"/>
          <w:numId w:val="1011"/>
        </w:numPr>
      </w:pPr>
      <w:r>
        <w:t xml:space="preserve">Pêches et Océans Canada</w:t>
      </w:r>
    </w:p>
    <w:p>
      <w:pPr>
        <w:numPr>
          <w:ilvl w:val="0"/>
          <w:numId w:val="1011"/>
        </w:numPr>
      </w:pPr>
      <w:r>
        <w:t xml:space="preserve">Bio-Oracle</w:t>
      </w:r>
    </w:p>
    <w:bookmarkStart w:id="131" w:name="pêches-et-océans-canada-2"/>
    <w:p>
      <w:pPr>
        <w:pStyle w:val="Heading3"/>
      </w:pPr>
      <w:r>
        <w:t xml:space="preserve">4.4.1 Pêches et Océans Canada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Pêches et Océans Canada (2022). Température et salinité au fond dans l’estuaire et le golfe du St-Laurent. Pêches et Océans Canada. https://ouvert.canada.ca/data/fr/dataset/10987662-c496-4ba8-a6b9-21cb5a134da2.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1km²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2011 à 2020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0" w:name="fig-temp_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28" name="Picture"/>
                  <a:graphic>
                    <a:graphicData uri="http://schemas.openxmlformats.org/drawingml/2006/picture">
                      <pic:pic>
                        <pic:nvPicPr>
                          <pic:cNvPr descr="./figures/env_mean_temperature.png" id="1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4.13: Température moyenne des eaux de fond</w:t>
            </w:r>
          </w:p>
          <w:bookmarkEnd w:id="130"/>
        </w:tc>
      </w:tr>
    </w:tbl>
    <w:bookmarkEnd w:id="131"/>
    <w:bookmarkStart w:id="148" w:name="bio-oracle-2"/>
    <w:p>
      <w:pPr>
        <w:pStyle w:val="Heading3"/>
      </w:pPr>
      <w:r>
        <w:t xml:space="preserve">4.4.2 Bio-Oracle</w:t>
      </w:r>
    </w:p>
    <w:p>
      <w:pPr>
        <w:pStyle w:val="FirstParagraph"/>
      </w:pPr>
      <w:r>
        <w:t xml:space="preserve">Les données de Bio-Oracle permettent d’avoir des données sur la température minimale, maximale et moyenne dans les eaux de fond à une profondeur moyenne.</w:t>
      </w:r>
    </w:p>
    <w:p>
      <w:pPr>
        <w:pStyle w:val="BodyText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5" w:name="fig-bo-temp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33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temperature_min.png" id="1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4.14: Température minimale des eaux de fond (°C)</w:t>
            </w:r>
          </w:p>
          <w:bookmarkEnd w:id="13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9" w:name="fig-bo-temp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37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temperature_mean.png" id="1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4.15: Température moyenne dissous des eaux de fond (°C)</w:t>
            </w:r>
          </w:p>
          <w:bookmarkEnd w:id="13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bo-temp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41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temperature_max.png" id="1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4.16: Température maximale dissous des eaux de fond (°C)</w:t>
            </w:r>
          </w:p>
          <w:bookmarkEnd w:id="14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7" w:name="fig-bo-temp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temperature_range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4.17: Étendue des valeurs de température des eaux de fond (°C)</w:t>
            </w:r>
          </w:p>
          <w:bookmarkEnd w:id="147"/>
        </w:tc>
      </w:tr>
    </w:tbl>
    <w:bookmarkEnd w:id="148"/>
    <w:bookmarkEnd w:id="149"/>
    <w:bookmarkStart w:id="166" w:name="sec-curvel"/>
    <w:p>
      <w:pPr>
        <w:pStyle w:val="Heading2"/>
      </w:pPr>
      <w:r>
        <w:t xml:space="preserve">4.5 Vélocité du courant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bo-curvel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51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current_velocity_min.png" id="1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4.18: Vélocité minimale du courant des eaux de fond (m/s)</w:t>
            </w:r>
          </w:p>
          <w:bookmarkEnd w:id="15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7" w:name="fig-bo-curvel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55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current_velocity_mean.png" id="1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4.19: Vélocité moyenne du courant des eaux de fond (m/s)</w:t>
            </w:r>
          </w:p>
          <w:bookmarkEnd w:id="15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1" w:name="fig-bo-curvel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59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current_velocity_max.png" id="1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4.20: Vélocité maximale du courant des eaux de fond (m/s)</w:t>
            </w:r>
          </w:p>
          <w:bookmarkEnd w:id="16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5" w:name="fig-bo-curvel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63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current_velocity_range.png" id="1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4.21: Étendue des valeurs de vélocité du courant des eaux de fond (m/s)</w:t>
            </w:r>
          </w:p>
          <w:bookmarkEnd w:id="165"/>
        </w:tc>
      </w:tr>
    </w:tbl>
    <w:bookmarkEnd w:id="166"/>
    <w:bookmarkStart w:id="183" w:name="biomasse-de-phytolankton"/>
    <w:p>
      <w:pPr>
        <w:pStyle w:val="Heading2"/>
      </w:pPr>
      <w:r>
        <w:t xml:space="preserve">4.6 Biomasse de phytolankton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0" w:name="fig-bo-phyto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68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phytoplankton_min.png" id="1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4.22: Biomasse de phytoplankton minimale dans les eaux de fond (μmol/m³)</w:t>
            </w:r>
          </w:p>
          <w:bookmarkEnd w:id="17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4" w:name="fig-bo-phyto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72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phytoplankton_mean.png" id="1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4.23: Biomasse de phytoplankton moyenne dans les eaux de fond (μmol/m³)</w:t>
            </w:r>
          </w:p>
          <w:bookmarkEnd w:id="17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8" w:name="fig-bo-phyto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76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phytoplankton_max.png" id="1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4.24: Biomasse de phytoplankton maximale dans les eaux de fond (μmol/m³)</w:t>
            </w:r>
          </w:p>
          <w:bookmarkEnd w:id="17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2" w:name="fig-bo-phyto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80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phytoplankton_range.png" id="1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4.25: Étendue des valeurs de biomasse de phytoplankton dans les eaux de fond (μmol/m³)</w:t>
            </w:r>
          </w:p>
          <w:bookmarkEnd w:id="182"/>
        </w:tc>
      </w:tr>
    </w:tbl>
    <w:bookmarkEnd w:id="183"/>
    <w:bookmarkStart w:id="200" w:name="concentration-de-chlorophylle-a"/>
    <w:p>
      <w:pPr>
        <w:pStyle w:val="Heading2"/>
      </w:pPr>
      <w:r>
        <w:t xml:space="preserve">4.7 Concentration de chlorophylle a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7" w:name="fig-bo-chloro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85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chlorophyll_min.png" id="1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4.26: Concentration minimale de chlorophylle a dans les eaux de fond (mg/m³)</w:t>
            </w:r>
          </w:p>
          <w:bookmarkEnd w:id="18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1" w:name="fig-bo-chloro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89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chlorophyll_mean.png" id="1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4.27: Concentration moyenne de chlorophylle a dans les eaux de fond (mg/m³)</w:t>
            </w:r>
          </w:p>
          <w:bookmarkEnd w:id="19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5" w:name="fig-bo-chloro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93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chlorophyll_max.png" id="1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4.28: Concentration maximale de chlorophylle a dans les eaux de fond (mg/m³)</w:t>
            </w:r>
          </w:p>
          <w:bookmarkEnd w:id="19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9" w:name="fig-bo-chloro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197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chlorophyll_range.png" id="1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4.29: Étendue des valeurs de concentration de chlorophylle a dans les eaux de fond (mg/m³)</w:t>
            </w:r>
          </w:p>
          <w:bookmarkEnd w:id="199"/>
        </w:tc>
      </w:tr>
    </w:tbl>
    <w:bookmarkEnd w:id="200"/>
    <w:bookmarkStart w:id="217" w:name="fer"/>
    <w:p>
      <w:pPr>
        <w:pStyle w:val="Heading2"/>
      </w:pPr>
      <w:r>
        <w:t xml:space="preserve">4.8 Fer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4" w:name="fig-bo-iron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02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iron_min.png" id="2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4.30: Concentration minimale de fer dissous des eaux de fond (μmol/m³)</w:t>
            </w:r>
          </w:p>
          <w:bookmarkEnd w:id="20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8" w:name="fig-bo-iron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06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iron_mean.png" id="20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4.31: Concentration moyenne de fer dissous des eaux de fond (μmol/m³)</w:t>
            </w:r>
          </w:p>
          <w:bookmarkEnd w:id="20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2" w:name="fig-bo-iron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10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iron_max.png" id="21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4.32: Concentration maximale de fer dissous des eaux de fond (μmol/m³)</w:t>
            </w:r>
          </w:p>
          <w:bookmarkEnd w:id="21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6" w:name="fig-bo-iron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14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iron_range.png" id="21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4.33: Étendue des valeurs de concentration de fer dissous des eaux de fond (μmol/m³)</w:t>
            </w:r>
          </w:p>
          <w:bookmarkEnd w:id="216"/>
        </w:tc>
      </w:tr>
    </w:tbl>
    <w:bookmarkEnd w:id="217"/>
    <w:bookmarkStart w:id="234" w:name="nitrate"/>
    <w:p>
      <w:pPr>
        <w:pStyle w:val="Heading2"/>
      </w:pPr>
      <w:r>
        <w:t xml:space="preserve">4.9 Nitrate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21" w:name="fig-bo-nitrate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19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nitrate_min.png" id="2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4.34: Concentration minimale de nitrate dissous des eaux de fond (μmol/m³)</w:t>
            </w:r>
          </w:p>
          <w:bookmarkEnd w:id="22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25" w:name="fig-bo-nitrate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23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nitrate_mean.png" id="2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4.35: Concentration moyenne de nitrate dissous des eaux de fond (μmol/m³)</w:t>
            </w:r>
          </w:p>
          <w:bookmarkEnd w:id="22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29" w:name="fig-bo-nitrate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27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nitrate_max.png" id="2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4.36: Concentration maximale de nitrate dissous des eaux de fond (μmol/m³)</w:t>
            </w:r>
          </w:p>
          <w:bookmarkEnd w:id="22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3" w:name="fig-bo-nitrate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31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nitrate_range.png" id="2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4.37: Étendue des valeurs de concentration de nitrate dissous des eaux de fond (μmol/m³)</w:t>
            </w:r>
          </w:p>
          <w:bookmarkEnd w:id="233"/>
        </w:tc>
      </w:tr>
    </w:tbl>
    <w:bookmarkEnd w:id="234"/>
    <w:bookmarkStart w:id="247" w:name="phosphate"/>
    <w:p>
      <w:pPr>
        <w:pStyle w:val="Heading2"/>
      </w:pPr>
      <w:r>
        <w:t xml:space="preserve">4.10 Phosphate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7" w:name="fig-bo-nitrate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35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nitrate_min.png" id="2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4.38: Concentration minimale de phosphate dissous des eaux de fond (μmol/m³)</w:t>
            </w:r>
          </w:p>
          <w:bookmarkEnd w:id="23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0" w:name="fig-bo-nitrate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38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nitrate_mean.png" id="2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4.39: Concentration moyenne de phosphate dissous des eaux de fond (μmol/m³)</w:t>
            </w:r>
          </w:p>
          <w:bookmarkEnd w:id="24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3" w:name="fig-bo-nitrate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41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nitrate_max.png" id="2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4.40: Concentration maximale de phosphate dissous des eaux de fond (μmol/m³)</w:t>
            </w:r>
          </w:p>
          <w:bookmarkEnd w:id="24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6" w:name="fig-bo-nitrate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44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nitrate_range.png" id="2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4.41: Étendue des valeurs de concentration de phosphate dissous des eaux de fond (μmol/m³)</w:t>
            </w:r>
          </w:p>
          <w:bookmarkEnd w:id="246"/>
        </w:tc>
      </w:tr>
    </w:tbl>
    <w:bookmarkEnd w:id="247"/>
    <w:bookmarkStart w:id="264" w:name="silicate"/>
    <w:p>
      <w:pPr>
        <w:pStyle w:val="Heading2"/>
      </w:pPr>
      <w:r>
        <w:t xml:space="preserve">4.11 Silicate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1" w:name="fig-bo-silicate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49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silicate_min.png" id="2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4.42: Concentration minimale de silicate dissous des eaux de fond (μmol/m³)</w:t>
            </w:r>
          </w:p>
          <w:bookmarkEnd w:id="25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5" w:name="fig-bo-silicate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53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silicate_mean.png" id="2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4.43: Concentration moyenne de silicate dissous des eaux de fond (μmol/m³)</w:t>
            </w:r>
          </w:p>
          <w:bookmarkEnd w:id="25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9" w:name="fig-bo-silicate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57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silicate_max.png" id="2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4.44: Concentration maximale de silicate dissous des eaux de fond (μmol/m³)</w:t>
            </w:r>
          </w:p>
          <w:bookmarkEnd w:id="25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3" w:name="fig-bo-silicate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61" name="Picture"/>
                  <a:graphic>
                    <a:graphicData uri="http://schemas.openxmlformats.org/drawingml/2006/picture">
                      <pic:pic>
                        <pic:nvPicPr>
                          <pic:cNvPr descr="./figures/env_bottom_silicate_range.png" id="2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4.45: Étendue des valeurs de concentration de silicate dissous des eaux de fond (μmol/m³)</w:t>
            </w:r>
          </w:p>
          <w:bookmarkEnd w:id="263"/>
        </w:tc>
      </w:tr>
    </w:tbl>
    <w:bookmarkEnd w:id="264"/>
    <w:bookmarkStart w:id="269" w:name="aragonite"/>
    <w:p>
      <w:pPr>
        <w:pStyle w:val="Heading2"/>
      </w:pPr>
      <w:r>
        <w:t xml:space="preserve">4.12 Aragonite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Starr, M. &amp; Chassé, J. (2019). Distribution of omega aragonite in the Estuary and Gulf of St. Lawrence in eastern Canada. Department of Fisheries and Oceans.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1km²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2017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8" w:name="fig-arag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66" name="Picture"/>
                  <a:graphic>
                    <a:graphicData uri="http://schemas.openxmlformats.org/drawingml/2006/picture">
                      <pic:pic>
                        <pic:nvPicPr>
                          <pic:cNvPr descr="./figures/env_arag.png" id="2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4.46: Horizon de saturation par l’aragonite des eaux de fond (Ω)</w:t>
            </w:r>
          </w:p>
          <w:bookmarkEnd w:id="268"/>
        </w:tc>
      </w:tr>
    </w:tbl>
    <w:bookmarkEnd w:id="269"/>
    <w:bookmarkStart w:id="274" w:name="sec-sed"/>
    <w:p>
      <w:pPr>
        <w:pStyle w:val="Heading2"/>
      </w:pPr>
      <w:r>
        <w:t xml:space="preserve">4.13 Les sédiments de fond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Loring, D. H., and D. J. G. Nota. (1973). Morphology and sediments of the Gulf of St. Lawrence. Bull. Fish. Res. Bd. Can. 182. 147 p. + 7 charts.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Ne s’applique pas, les données sont des polygones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1961-1969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3" w:name="fig-sediments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71" name="Picture"/>
                  <a:graphic>
                    <a:graphicData uri="http://schemas.openxmlformats.org/drawingml/2006/picture">
                      <pic:pic>
                        <pic:nvPicPr>
                          <pic:cNvPr descr="./figures/env_depot_gro.png" id="2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4.47: Catégories générales des sédiments de surface</w:t>
            </w:r>
          </w:p>
          <w:bookmarkEnd w:id="273"/>
        </w:tc>
      </w:tr>
    </w:tbl>
    <w:bookmarkEnd w:id="274"/>
    <w:bookmarkEnd w:id="275"/>
    <w:bookmarkStart w:id="337" w:name="variables-des-eaux-de-surface"/>
    <w:p>
      <w:pPr>
        <w:pStyle w:val="Heading1"/>
      </w:pPr>
      <w:r>
        <w:t xml:space="preserve">5. Variables des eaux de surface</w:t>
      </w:r>
    </w:p>
    <w:bookmarkStart w:id="280" w:name="sec-ice"/>
    <w:p>
      <w:pPr>
        <w:pStyle w:val="Heading2"/>
      </w:pPr>
      <w:r>
        <w:t xml:space="preserve">5.1 Fraction de la couverture de la glace marine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9" w:name="fig-bo-ice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77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ice_cover_max.png" id="2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5.1: Fraction maximale de la couverture de la glace marine</w:t>
            </w:r>
          </w:p>
          <w:bookmarkEnd w:id="279"/>
        </w:tc>
      </w:tr>
    </w:tbl>
    <w:bookmarkEnd w:id="280"/>
    <w:bookmarkStart w:id="297" w:name="biomasse-de-phytolankton-1"/>
    <w:p>
      <w:pPr>
        <w:pStyle w:val="Heading2"/>
      </w:pPr>
      <w:r>
        <w:t xml:space="preserve">5.2 Biomasse de phytolankton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4" w:name="fig-bo-phyto-surf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82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phytoplankton_min.png" id="2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5.2: Biomasse de phytoplankton minimale à la surface de la mer (μmol/m³)</w:t>
            </w:r>
          </w:p>
          <w:bookmarkEnd w:id="28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8" w:name="fig-bo-phyto-surf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86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phytoplankton_mean.png" id="2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5.3: Biomasse de phytoplankton moyenne à la surface de la mer (μmol/m³)</w:t>
            </w:r>
          </w:p>
          <w:bookmarkEnd w:id="28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2" w:name="fig-bo-phyto-surf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90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phytoplankton_max.png" id="2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5.4: Biomasse de phytoplankton maximale à la surface de la mer (μmol/m³)</w:t>
            </w:r>
          </w:p>
          <w:bookmarkEnd w:id="29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6" w:name="fig-bo-phyto-surf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94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phytoplankton_range.png" id="2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5.5: Étendue des valeurs de biomasse de phytoplankton à la surface de la mer (μmol/m³)</w:t>
            </w:r>
          </w:p>
          <w:bookmarkEnd w:id="296"/>
        </w:tc>
      </w:tr>
    </w:tbl>
    <w:bookmarkEnd w:id="297"/>
    <w:bookmarkStart w:id="314" w:name="concentration-de-chlorophylle-a-1"/>
    <w:p>
      <w:pPr>
        <w:pStyle w:val="Heading2"/>
      </w:pPr>
      <w:r>
        <w:t xml:space="preserve">5.3 Concentration de chlorophylle a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1" w:name="fig-bo-chloro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299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chlorophyll_min.png" id="3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5.6: Concentration minimale de chlorophylle a à la surface de la mer (mg/m³)</w:t>
            </w:r>
          </w:p>
          <w:bookmarkEnd w:id="30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5" w:name="fig-bo-chloro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303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chlorophyll_mean.png" id="3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5.7: Concentration moyenne de chlorophylle a à la surface de la mer (mg/m³)</w:t>
            </w:r>
          </w:p>
          <w:bookmarkEnd w:id="30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9" w:name="fig-bo-chloro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307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chlorophyll_max.png" id="3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5.8: Concentration maximale de chlorophylle a à la surface de la mer (mg/m³)</w:t>
            </w:r>
          </w:p>
          <w:bookmarkEnd w:id="30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3" w:name="fig-bo-chloro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311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chlorophyll_range.png" id="3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5.9: Étendue des valeurs de concentration de chlorophylle a à la surface de la mer (mg/m³)</w:t>
            </w:r>
          </w:p>
          <w:bookmarkEnd w:id="313"/>
        </w:tc>
      </w:tr>
    </w:tbl>
    <w:bookmarkEnd w:id="314"/>
    <w:bookmarkStart w:id="331" w:name="productivité-primaire"/>
    <w:p>
      <w:pPr>
        <w:pStyle w:val="Heading2"/>
      </w:pPr>
      <w:r>
        <w:t xml:space="preserve">5.4 Productivité primaire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8" w:name="fig-bo-pp-surf-mi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316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primary_productivity_min.png" id="3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5.10: Productivité primaire à la surface de la mer (g/m³/day)</w:t>
            </w:r>
          </w:p>
          <w:bookmarkEnd w:id="31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2" w:name="fig-bo-pp-surf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320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primary_productivity_mean.png" id="3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5.11: Productivité primaire à la surface de la mer (g/m³/day)</w:t>
            </w:r>
          </w:p>
          <w:bookmarkEnd w:id="32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6" w:name="fig-bo-pp-surf-max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324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primary_productivity_max.png" id="3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5.12: Productivité primaire à la surface de la mer (g/m³/day)</w:t>
            </w:r>
          </w:p>
          <w:bookmarkEnd w:id="32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0" w:name="fig-bo-pp-surf-range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328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primary_productivity_range.png" id="3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5.13: Étendue des valeurs de productivité primaire à la surface de la mer (g/m³/day)</w:t>
            </w:r>
          </w:p>
          <w:bookmarkEnd w:id="330"/>
        </w:tc>
      </w:tr>
    </w:tbl>
    <w:bookmarkEnd w:id="331"/>
    <w:bookmarkStart w:id="336" w:name="sec-calcite"/>
    <w:p>
      <w:pPr>
        <w:pStyle w:val="Heading2"/>
      </w:pPr>
      <w:r>
        <w:t xml:space="preserve">5.5 Concentration de calcite dissous dans les eaux de surface</w:t>
      </w:r>
    </w:p>
    <w:p>
      <w:pPr>
        <w:pStyle w:val="FirstParagraph"/>
      </w:pPr>
      <w:r>
        <w:rPr>
          <w:bCs/>
          <w:b/>
        </w:rPr>
        <w:t xml:space="preserve">Source:</w:t>
      </w:r>
      <w:r>
        <w:t xml:space="preserve"> </w:t>
      </w:r>
      <w:r>
        <w:t xml:space="preserve">Assis J, Tyberghein L, Bosch S, Heroen V, Serrão E, De Clerck O, Tittensor D (2018).</w:t>
      </w:r>
      <w:r>
        <w:t xml:space="preserve"> </w:t>
      </w:r>
      <w:r>
        <w:t xml:space="preserve">“</w:t>
      </w:r>
      <w:r>
        <w:t xml:space="preserve">Bio‐ORACLE v2.0: Extending marine data layers for bioclimatic modelling.</w:t>
      </w:r>
      <w:r>
        <w:t xml:space="preserve">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,</w:t>
      </w:r>
      <w:r>
        <w:t xml:space="preserve"> </w:t>
      </w:r>
      <w:r>
        <w:rPr>
          <w:iCs/>
          <w:i/>
        </w:rPr>
        <w:t xml:space="preserve">27</w:t>
      </w:r>
      <w:r>
        <w:t xml:space="preserve">(3), 277-284. doi:10.1111/geb.12693</w:t>
      </w:r>
    </w:p>
    <w:p>
      <w:pPr>
        <w:pStyle w:val="BodyText"/>
      </w:pPr>
      <w:r>
        <w:rPr>
          <w:bCs/>
          <w:b/>
        </w:rPr>
        <w:t xml:space="preserve">Résolution spatiale originale:</w:t>
      </w:r>
      <w:r>
        <w:t xml:space="preserve"> </w:t>
      </w:r>
      <w:r>
        <w:t xml:space="preserve">5 minutes d’arc</w:t>
      </w:r>
    </w:p>
    <w:p>
      <w:pPr>
        <w:pStyle w:val="BodyText"/>
      </w:pPr>
      <w:r>
        <w:rPr>
          <w:bCs/>
          <w:b/>
        </w:rPr>
        <w:t xml:space="preserve">Étendue temporelle:</w:t>
      </w:r>
      <w:r>
        <w:t xml:space="preserve"> </w:t>
      </w:r>
      <w:r>
        <w:t xml:space="preserve">2000-2014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5" w:name="fig-bo-calcite-surf-mean"/>
          <w:p>
            <w:pPr>
              <w:pStyle w:val="Figure"/>
              <w:jc w:val="center"/>
            </w:pPr>
            <w:r>
              <w:drawing>
                <wp:inline>
                  <wp:extent cx="5334000" cy="3473009"/>
                  <wp:effectExtent b="0" l="0" r="0" t="0"/>
                  <wp:docPr descr="" title="" id="333" name="Picture"/>
                  <a:graphic>
                    <a:graphicData uri="http://schemas.openxmlformats.org/drawingml/2006/picture">
                      <pic:pic>
                        <pic:nvPicPr>
                          <pic:cNvPr descr="./figures/env_surface_calcite_mean.png" id="3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5.14: Concentration de calcite dissous moyenne (mol/m³)</w:t>
            </w:r>
          </w:p>
          <w:bookmarkEnd w:id="335"/>
        </w:tc>
      </w:tr>
    </w:tbl>
    <w:bookmarkEnd w:id="336"/>
    <w:bookmarkEnd w:id="337"/>
    <w:bookmarkStart w:id="341" w:name="sélection-de-modèles"/>
    <w:p>
      <w:pPr>
        <w:pStyle w:val="Heading1"/>
      </w:pPr>
      <w:r>
        <w:t xml:space="preserve">6. Sélection de modèles</w:t>
      </w:r>
    </w:p>
    <w:bookmarkStart w:id="340" w:name="types-de-modèles"/>
    <w:p>
      <w:pPr>
        <w:pStyle w:val="Heading2"/>
      </w:pPr>
      <w:r>
        <w:t xml:space="preserve">6.1 Types de modèles</w:t>
      </w:r>
    </w:p>
    <w:bookmarkStart w:id="338" w:name="présences-absences"/>
    <w:p>
      <w:pPr>
        <w:pStyle w:val="Heading3"/>
      </w:pPr>
      <w:r>
        <w:t xml:space="preserve">6.1.1 Présences-absences</w:t>
      </w:r>
    </w:p>
    <w:p>
      <w:pPr>
        <w:pStyle w:val="FirstParagraph"/>
      </w:pPr>
      <w:r>
        <w:t xml:space="preserve">Les données de présences-absences seront d’abord ramenées sur une grille de 36 secondes d’arc de résolution afin d’avoir des succès (présences) et des essais (présences et absences combinées) aux centroïdes de chaque cellule.</w:t>
      </w:r>
      <w:r>
        <w:t xml:space="preserve"> </w:t>
      </w:r>
      <w:r>
        <w:t xml:space="preserve">Les paramètres du modèle de distribution d’espèce seront estimés avec une régression binomiale dans un cadre bayésien en utilisant l’approximation de Laplace imbriquée et intégrée (INLA)</w:t>
      </w:r>
      <w:r>
        <w:t xml:space="preserve"> </w:t>
      </w:r>
      <w:r>
        <w:t xml:space="preserve">(Rue, Martino, and Chopin 2009)</w:t>
      </w:r>
      <w:r>
        <w:t xml:space="preserve">.</w:t>
      </w:r>
      <w:r>
        <w:t xml:space="preserve"> </w:t>
      </w:r>
      <w:r>
        <w:t xml:space="preserve">INLA est une procédure d’estimation des paramètres et hyperparamètres d’un modèle bayésien extrêmement efficace.</w:t>
      </w:r>
      <w:r>
        <w:t xml:space="preserve"> </w:t>
      </w:r>
      <w:r>
        <w:t xml:space="preserve">Elle permet notamment de construire des modèles spatiaux avec un très grand nombre d’échantillons très rapidement en contournant certaines procédures qui sont normalement très coûteuse en temps</w:t>
      </w:r>
      <w:r>
        <w:t xml:space="preserve"> </w:t>
      </w:r>
      <w:r>
        <w:t xml:space="preserve">(Lindgren, Rue, and Lindström 2011)</w:t>
      </w:r>
      <w:r>
        <w:t xml:space="preserve">.</w:t>
      </w:r>
    </w:p>
    <w:p>
      <w:pPr>
        <w:pStyle w:val="BodyText"/>
      </w:pPr>
      <w:r>
        <w:t xml:space="preserve">Un de ces types de modèles spatiaux est un modèle de distribution d’espèce prenant en compte l’autocorrélation spatiale.</w:t>
      </w:r>
      <w:r>
        <w:t xml:space="preserve"> </w:t>
      </w:r>
      <w:r>
        <w:t xml:space="preserve">L’autocorrélation spatiale dans la distribution d’une espèce est une similitude plus marquée entre une paire d’observations plus rapprochées comparativement à une paire d’observations plus éloignées</w:t>
      </w:r>
      <w:r>
        <w:t xml:space="preserve"> </w:t>
      </w:r>
      <w:r>
        <w:t xml:space="preserve">(Guélat and Kéry 2018)</w:t>
      </w:r>
      <w:r>
        <w:t xml:space="preserve">.</w:t>
      </w:r>
      <w:r>
        <w:t xml:space="preserve"> </w:t>
      </w:r>
      <w:r>
        <w:t xml:space="preserve">Cette autocorrélation peut avoir un effet important sur la qualité et l’incertitude des modèles spatiaux et modéliser explicitement cette autocorrélation peut grandement améliorer la qualité du modèle</w:t>
      </w:r>
      <w:r>
        <w:t xml:space="preserve"> </w:t>
      </w:r>
      <w:r>
        <w:t xml:space="preserve">(Guélat and Kéry 2018)</w:t>
      </w:r>
      <w:r>
        <w:t xml:space="preserve">.</w:t>
      </w:r>
      <w:r>
        <w:t xml:space="preserve"> </w:t>
      </w:r>
      <w:r>
        <w:t xml:space="preserve">Comme la modélisation explicite de l’autocorrélation spatiale est particulièrement coûteuse en temps, l’utilisation d’INLA devient alors tout indiquée.</w:t>
      </w:r>
    </w:p>
    <w:p>
      <w:pPr>
        <w:pStyle w:val="BodyText"/>
      </w:pPr>
      <w:r>
        <w:t xml:space="preserve">Les cartes de probabilités d’occurrence obtenues à partir des modèles seront binarisées en présence et absence à l’aide d’une valeur seuil de probabilité d’occurrence.</w:t>
      </w:r>
      <w:r>
        <w:t xml:space="preserve"> </w:t>
      </w:r>
      <w:r>
        <w:t xml:space="preserve">Cette valeur seuil représente la probabilité d’occurrence où la sensibilité (taux de vrai positif) et la spécifité (taux de vrai négatif) du modèle sont maximisées et sera calculée à l’aide du paquet R</w:t>
      </w:r>
      <w:r>
        <w:t xml:space="preserve"> </w:t>
      </w:r>
      <w:r>
        <w:rPr>
          <w:iCs/>
          <w:i/>
        </w:rPr>
        <w:t xml:space="preserve">dismo</w:t>
      </w:r>
      <w:r>
        <w:t xml:space="preserve"> </w:t>
      </w:r>
      <w:r>
        <w:t xml:space="preserve">(Hijmans et al. 2022)</w:t>
      </w:r>
      <w:r>
        <w:t xml:space="preserve">.</w:t>
      </w:r>
    </w:p>
    <w:bookmarkEnd w:id="338"/>
    <w:bookmarkStart w:id="339" w:name="biomasse"/>
    <w:p>
      <w:pPr>
        <w:pStyle w:val="Heading3"/>
      </w:pPr>
      <w:r>
        <w:t xml:space="preserve">6.1.2 Biomasse</w:t>
      </w:r>
    </w:p>
    <w:p>
      <w:pPr>
        <w:pStyle w:val="FirstParagraph"/>
      </w:pPr>
      <w:r>
        <w:t xml:space="preserve">Des modèles pour prédire la biomasse seront également construits avec les données de biomasse afin d’avoir un comparatif avec les modèles de présences-absences.</w:t>
      </w:r>
      <w:r>
        <w:t xml:space="preserve"> </w:t>
      </w:r>
      <w:r>
        <w:t xml:space="preserve">En inférant les zéros de la même manière que les absences</w:t>
      </w:r>
      <w:r>
        <w:t xml:space="preserve"> </w:t>
      </w:r>
      <w:hyperlink w:anchor="sec-abs">
        <w:r>
          <w:rPr>
            <w:rStyle w:val="Hyperlink"/>
          </w:rPr>
          <w:t xml:space="preserve">voir Section 3.2</w:t>
        </w:r>
      </w:hyperlink>
      <w:r>
        <w:t xml:space="preserve">, il y a aura un excès de zéro dans la distribution des données.</w:t>
      </w:r>
      <w:r>
        <w:t xml:space="preserve"> </w:t>
      </w:r>
      <w:r>
        <w:t xml:space="preserve">Dans ce cas, une approche à deux probabilités serait utilisée en décomposant la distribution des données en deux parties</w:t>
      </w:r>
      <w:r>
        <w:t xml:space="preserve"> </w:t>
      </w:r>
      <w:r>
        <w:t xml:space="preserve">(Rustand et al. 2023)</w:t>
      </w:r>
      <w:r>
        <w:t xml:space="preserve">:</w:t>
      </w:r>
      <w:r>
        <w:t xml:space="preserve"> </w:t>
      </w:r>
      <w:r>
        <w:t xml:space="preserve">1. Issue binaire (présence-absence, régression binomiale)</w:t>
      </w:r>
      <w:r>
        <w:t xml:space="preserve"> </w:t>
      </w:r>
      <w:r>
        <w:t xml:space="preserve">2. Distribution de masses positives continues (loi Gamma ou loi log-normale).</w:t>
      </w:r>
      <w:r>
        <w:t xml:space="preserve"> </w:t>
      </w:r>
      <w:r>
        <w:t xml:space="preserve">Les méthodes pour construire et valider les performances des modèles et pour obtenir des cartes binaires seront les mêmes que celles utilisées pour les modèles de présences-absences.</w:t>
      </w:r>
    </w:p>
    <w:bookmarkEnd w:id="339"/>
    <w:bookmarkEnd w:id="340"/>
    <w:bookmarkEnd w:id="341"/>
    <w:bookmarkStart w:id="355" w:name="references"/>
    <w:p>
      <w:pPr>
        <w:pStyle w:val="Heading1"/>
      </w:pPr>
      <w:r>
        <w:t xml:space="preserve">References</w:t>
      </w:r>
    </w:p>
    <w:bookmarkStart w:id="354" w:name="refs"/>
    <w:bookmarkStart w:id="343" w:name="ref-guelat2018"/>
    <w:p>
      <w:pPr>
        <w:pStyle w:val="Bibliography"/>
      </w:pPr>
      <w:r>
        <w:t xml:space="preserve">Guélat, Jérôme, and Marc Kéry. 2018.</w:t>
      </w:r>
      <w:r>
        <w:t xml:space="preserve"> </w:t>
      </w:r>
      <w:r>
        <w:t xml:space="preserve">“Effects of Spatial Autocorrelation and Imperfect Detection on Species Distribution Models.”</w:t>
      </w:r>
      <w:r>
        <w:t xml:space="preserve"> </w:t>
      </w:r>
      <w:r>
        <w:rPr>
          <w:iCs/>
          <w:i/>
        </w:rPr>
        <w:t xml:space="preserve">Methods in Ecology and Evolution</w:t>
      </w:r>
      <w:r>
        <w:t xml:space="preserve"> </w:t>
      </w:r>
      <w:r>
        <w:t xml:space="preserve">9 (6): 1614–25.</w:t>
      </w:r>
      <w:r>
        <w:t xml:space="preserve"> </w:t>
      </w:r>
      <w:hyperlink r:id="rId342">
        <w:r>
          <w:rPr>
            <w:rStyle w:val="Hyperlink"/>
          </w:rPr>
          <w:t xml:space="preserve">https://doi.org/10.1111/2041-210X.12983</w:t>
        </w:r>
      </w:hyperlink>
      <w:r>
        <w:t xml:space="preserve">.</w:t>
      </w:r>
    </w:p>
    <w:bookmarkEnd w:id="343"/>
    <w:bookmarkStart w:id="344" w:name="ref-hijmans2023"/>
    <w:p>
      <w:pPr>
        <w:pStyle w:val="Bibliography"/>
      </w:pPr>
      <w:r>
        <w:t xml:space="preserve">Hijmans, Robert J. 2023.</w:t>
      </w:r>
      <w:r>
        <w:t xml:space="preserve"> </w:t>
      </w:r>
      <w:r>
        <w:t xml:space="preserve">“Terra:</w:t>
      </w:r>
      <w:r>
        <w:t xml:space="preserve"> </w:t>
      </w:r>
      <w:r>
        <w:t xml:space="preserve">Spatial Data Analysis</w:t>
      </w:r>
      <w:r>
        <w:t xml:space="preserve">.”</w:t>
      </w:r>
    </w:p>
    <w:bookmarkEnd w:id="344"/>
    <w:bookmarkStart w:id="345" w:name="ref-hijmans2022"/>
    <w:p>
      <w:pPr>
        <w:pStyle w:val="Bibliography"/>
      </w:pPr>
      <w:r>
        <w:t xml:space="preserve">Hijmans, Robert J., Steven Phillips, John Leathwick, and Jane Elith. 2022.</w:t>
      </w:r>
      <w:r>
        <w:t xml:space="preserve"> </w:t>
      </w:r>
      <w:r>
        <w:t xml:space="preserve">“Dismo:</w:t>
      </w:r>
      <w:r>
        <w:t xml:space="preserve"> </w:t>
      </w:r>
      <w:r>
        <w:t xml:space="preserve">Species Distribution Modeling</w:t>
      </w:r>
      <w:r>
        <w:t xml:space="preserve">.”</w:t>
      </w:r>
    </w:p>
    <w:bookmarkEnd w:id="345"/>
    <w:bookmarkStart w:id="347" w:name="ref-lindgren2011"/>
    <w:p>
      <w:pPr>
        <w:pStyle w:val="Bibliography"/>
      </w:pPr>
      <w:r>
        <w:t xml:space="preserve">Lindgren, Finn, Håvard Rue, and Johan Lindström. 2011.</w:t>
      </w:r>
      <w:r>
        <w:t xml:space="preserve"> </w:t>
      </w:r>
      <w:r>
        <w:t xml:space="preserve">“An Explicit Link Between</w:t>
      </w:r>
      <w:r>
        <w:t xml:space="preserve"> </w:t>
      </w:r>
      <w:r>
        <w:t xml:space="preserve">Gaussian</w:t>
      </w:r>
      <w:r>
        <w:t xml:space="preserve"> </w:t>
      </w:r>
      <w:r>
        <w:t xml:space="preserve">Fields and</w:t>
      </w:r>
      <w:r>
        <w:t xml:space="preserve"> </w:t>
      </w:r>
      <w:r>
        <w:t xml:space="preserve">Gaussian Markov</w:t>
      </w:r>
      <w:r>
        <w:t xml:space="preserve"> </w:t>
      </w:r>
      <w:r>
        <w:t xml:space="preserve">Random Fields: The Stochastic Partial Differential Equation Approach.”</w:t>
      </w:r>
      <w:r>
        <w:t xml:space="preserve"> </w:t>
      </w:r>
      <w:r>
        <w:rPr>
          <w:iCs/>
          <w:i/>
        </w:rPr>
        <w:t xml:space="preserve">Journal of the Royal Statistical Society: Series B (Statistical Methodology)</w:t>
      </w:r>
      <w:r>
        <w:t xml:space="preserve"> </w:t>
      </w:r>
      <w:r>
        <w:t xml:space="preserve">73 (4): 423–98.</w:t>
      </w:r>
      <w:r>
        <w:t xml:space="preserve"> </w:t>
      </w:r>
      <w:hyperlink r:id="rId346">
        <w:r>
          <w:rPr>
            <w:rStyle w:val="Hyperlink"/>
          </w:rPr>
          <w:t xml:space="preserve">https://doi.org/10.1111/j.1467-9868.2011.00777.x</w:t>
        </w:r>
      </w:hyperlink>
      <w:r>
        <w:t xml:space="preserve">.</w:t>
      </w:r>
    </w:p>
    <w:bookmarkEnd w:id="347"/>
    <w:bookmarkStart w:id="349" w:name="ref-loboUncertainNatureAbsences2010"/>
    <w:p>
      <w:pPr>
        <w:pStyle w:val="Bibliography"/>
      </w:pPr>
      <w:r>
        <w:t xml:space="preserve">Lobo, Jorge M., Alberto Jiménez-Valverde, and Joaquín Hortal. 2010.</w:t>
      </w:r>
      <w:r>
        <w:t xml:space="preserve"> </w:t>
      </w:r>
      <w:r>
        <w:t xml:space="preserve">“The Uncertain Nature of Absences and Their Importance in Species Distribution Modelling.”</w:t>
      </w:r>
      <w:r>
        <w:t xml:space="preserve"> </w:t>
      </w:r>
      <w:r>
        <w:rPr>
          <w:iCs/>
          <w:i/>
        </w:rPr>
        <w:t xml:space="preserve">Ecography</w:t>
      </w:r>
      <w:r>
        <w:t xml:space="preserve"> </w:t>
      </w:r>
      <w:r>
        <w:t xml:space="preserve">33 (1): 103–14.</w:t>
      </w:r>
      <w:r>
        <w:t xml:space="preserve"> </w:t>
      </w:r>
      <w:hyperlink r:id="rId348">
        <w:r>
          <w:rPr>
            <w:rStyle w:val="Hyperlink"/>
          </w:rPr>
          <w:t xml:space="preserve">https://doi.org/10.1111/j.1600-0587.2009.06039.x</w:t>
        </w:r>
      </w:hyperlink>
      <w:r>
        <w:t xml:space="preserve">.</w:t>
      </w:r>
    </w:p>
    <w:bookmarkEnd w:id="349"/>
    <w:bookmarkStart w:id="351" w:name="ref-rue2009"/>
    <w:p>
      <w:pPr>
        <w:pStyle w:val="Bibliography"/>
      </w:pPr>
      <w:r>
        <w:t xml:space="preserve">Rue, Håvard, Sara Martino, and Nicolas Chopin. 2009.</w:t>
      </w:r>
      <w:r>
        <w:t xml:space="preserve"> </w:t>
      </w:r>
      <w:r>
        <w:t xml:space="preserve">“Approximate</w:t>
      </w:r>
      <w:r>
        <w:t xml:space="preserve"> </w:t>
      </w:r>
      <w:r>
        <w:t xml:space="preserve">Bayesian</w:t>
      </w:r>
      <w:r>
        <w:t xml:space="preserve"> </w:t>
      </w:r>
      <w:r>
        <w:t xml:space="preserve">Inference for Latent</w:t>
      </w:r>
      <w:r>
        <w:t xml:space="preserve"> </w:t>
      </w:r>
      <w:r>
        <w:t xml:space="preserve">Gaussian</w:t>
      </w:r>
      <w:r>
        <w:t xml:space="preserve"> </w:t>
      </w:r>
      <w:r>
        <w:t xml:space="preserve">Models by Using Integrated Nested</w:t>
      </w:r>
      <w:r>
        <w:t xml:space="preserve"> </w:t>
      </w:r>
      <w:r>
        <w:t xml:space="preserve">Laplace</w:t>
      </w:r>
      <w:r>
        <w:t xml:space="preserve"> </w:t>
      </w:r>
      <w:r>
        <w:t xml:space="preserve">Approximations.”</w:t>
      </w:r>
      <w:r>
        <w:t xml:space="preserve"> </w:t>
      </w:r>
      <w:r>
        <w:rPr>
          <w:iCs/>
          <w:i/>
        </w:rPr>
        <w:t xml:space="preserve">Journal of the Royal Statistical Society: Series B (Statistical Methodology)</w:t>
      </w:r>
      <w:r>
        <w:t xml:space="preserve"> </w:t>
      </w:r>
      <w:r>
        <w:t xml:space="preserve">71 (2): 319–92.</w:t>
      </w:r>
      <w:r>
        <w:t xml:space="preserve"> </w:t>
      </w:r>
      <w:hyperlink r:id="rId350">
        <w:r>
          <w:rPr>
            <w:rStyle w:val="Hyperlink"/>
          </w:rPr>
          <w:t xml:space="preserve">https://doi.org/10.1111/j.1467-9868.2008.00700.x</w:t>
        </w:r>
      </w:hyperlink>
      <w:r>
        <w:t xml:space="preserve">.</w:t>
      </w:r>
    </w:p>
    <w:bookmarkEnd w:id="351"/>
    <w:bookmarkStart w:id="353" w:name="ref-rustand2023"/>
    <w:p>
      <w:pPr>
        <w:pStyle w:val="Bibliography"/>
      </w:pPr>
      <w:r>
        <w:t xml:space="preserve">Rustand, Denis, Janet van Niekerk, Håvard Rue, Christophe Tournigand, Virginie Rondeau, and Laurent Briollais. 2023.</w:t>
      </w:r>
      <w:r>
        <w:t xml:space="preserve"> </w:t>
      </w:r>
      <w:r>
        <w:t xml:space="preserve">“Bayesian Estimation of Two-Part Joint Models for a Longitudinal Semicontinuous Biomarker and a Terminal Event with</w:t>
      </w:r>
      <w:r>
        <w:t xml:space="preserve"> </w:t>
      </w:r>
      <w:r>
        <w:t xml:space="preserve">INLA</w:t>
      </w:r>
      <w:r>
        <w:t xml:space="preserve">:</w:t>
      </w:r>
      <w:r>
        <w:t xml:space="preserve"> </w:t>
      </w:r>
      <w:r>
        <w:t xml:space="preserve">Interests</w:t>
      </w:r>
      <w:r>
        <w:t xml:space="preserve"> </w:t>
      </w:r>
      <w:r>
        <w:t xml:space="preserve">for Cancer Clinical Trial Evaluation.”</w:t>
      </w:r>
      <w:r>
        <w:t xml:space="preserve"> </w:t>
      </w:r>
      <w:r>
        <w:rPr>
          <w:iCs/>
          <w:i/>
        </w:rPr>
        <w:t xml:space="preserve">Biometrical Journal</w:t>
      </w:r>
      <w:r>
        <w:t xml:space="preserve"> </w:t>
      </w:r>
      <w:r>
        <w:t xml:space="preserve">n/a (n/a): 2100322.</w:t>
      </w:r>
      <w:r>
        <w:t xml:space="preserve"> </w:t>
      </w:r>
      <w:hyperlink r:id="rId352">
        <w:r>
          <w:rPr>
            <w:rStyle w:val="Hyperlink"/>
          </w:rPr>
          <w:t xml:space="preserve">https://doi.org/10.1002/bimj.202100322</w:t>
        </w:r>
      </w:hyperlink>
      <w:r>
        <w:t xml:space="preserve">.</w:t>
      </w:r>
    </w:p>
    <w:bookmarkEnd w:id="353"/>
    <w:bookmarkEnd w:id="354"/>
    <w:bookmarkEnd w:id="35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1"/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5" Target="media/rId265.png" /><Relationship Type="http://schemas.openxmlformats.org/officeDocument/2006/relationships/image" Id="rId72" Target="media/rId72.png" /><Relationship Type="http://schemas.openxmlformats.org/officeDocument/2006/relationships/image" Id="rId192" Target="media/rId192.png" /><Relationship Type="http://schemas.openxmlformats.org/officeDocument/2006/relationships/image" Id="rId188" Target="media/rId188.png" /><Relationship Type="http://schemas.openxmlformats.org/officeDocument/2006/relationships/image" Id="rId184" Target="media/rId184.png" /><Relationship Type="http://schemas.openxmlformats.org/officeDocument/2006/relationships/image" Id="rId196" Target="media/rId196.png" /><Relationship Type="http://schemas.openxmlformats.org/officeDocument/2006/relationships/image" Id="rId158" Target="media/rId158.png" /><Relationship Type="http://schemas.openxmlformats.org/officeDocument/2006/relationships/image" Id="rId154" Target="media/rId154.png" /><Relationship Type="http://schemas.openxmlformats.org/officeDocument/2006/relationships/image" Id="rId150" Target="media/rId150.png" /><Relationship Type="http://schemas.openxmlformats.org/officeDocument/2006/relationships/image" Id="rId162" Target="media/rId162.png" /><Relationship Type="http://schemas.openxmlformats.org/officeDocument/2006/relationships/image" Id="rId94" Target="media/rId94.png" /><Relationship Type="http://schemas.openxmlformats.org/officeDocument/2006/relationships/image" Id="rId90" Target="media/rId90.png" /><Relationship Type="http://schemas.openxmlformats.org/officeDocument/2006/relationships/image" Id="rId86" Target="media/rId86.png" /><Relationship Type="http://schemas.openxmlformats.org/officeDocument/2006/relationships/image" Id="rId98" Target="media/rId98.png" /><Relationship Type="http://schemas.openxmlformats.org/officeDocument/2006/relationships/image" Id="rId209" Target="media/rId209.png" /><Relationship Type="http://schemas.openxmlformats.org/officeDocument/2006/relationships/image" Id="rId205" Target="media/rId205.png" /><Relationship Type="http://schemas.openxmlformats.org/officeDocument/2006/relationships/image" Id="rId201" Target="media/rId201.png" /><Relationship Type="http://schemas.openxmlformats.org/officeDocument/2006/relationships/image" Id="rId213" Target="media/rId213.png" /><Relationship Type="http://schemas.openxmlformats.org/officeDocument/2006/relationships/image" Id="rId226" Target="media/rId226.png" /><Relationship Type="http://schemas.openxmlformats.org/officeDocument/2006/relationships/image" Id="rId222" Target="media/rId222.png" /><Relationship Type="http://schemas.openxmlformats.org/officeDocument/2006/relationships/image" Id="rId218" Target="media/rId218.png" /><Relationship Type="http://schemas.openxmlformats.org/officeDocument/2006/relationships/image" Id="rId230" Target="media/rId230.png" /><Relationship Type="http://schemas.openxmlformats.org/officeDocument/2006/relationships/image" Id="rId175" Target="media/rId175.png" /><Relationship Type="http://schemas.openxmlformats.org/officeDocument/2006/relationships/image" Id="rId171" Target="media/rId171.png" /><Relationship Type="http://schemas.openxmlformats.org/officeDocument/2006/relationships/image" Id="rId167" Target="media/rId167.png" /><Relationship Type="http://schemas.openxmlformats.org/officeDocument/2006/relationships/image" Id="rId179" Target="media/rId179.png" /><Relationship Type="http://schemas.openxmlformats.org/officeDocument/2006/relationships/image" Id="rId117" Target="media/rId117.png" /><Relationship Type="http://schemas.openxmlformats.org/officeDocument/2006/relationships/image" Id="rId113" Target="media/rId113.png" /><Relationship Type="http://schemas.openxmlformats.org/officeDocument/2006/relationships/image" Id="rId109" Target="media/rId109.png" /><Relationship Type="http://schemas.openxmlformats.org/officeDocument/2006/relationships/image" Id="rId121" Target="media/rId121.png" /><Relationship Type="http://schemas.openxmlformats.org/officeDocument/2006/relationships/image" Id="rId256" Target="media/rId256.png" /><Relationship Type="http://schemas.openxmlformats.org/officeDocument/2006/relationships/image" Id="rId252" Target="media/rId252.png" /><Relationship Type="http://schemas.openxmlformats.org/officeDocument/2006/relationships/image" Id="rId248" Target="media/rId248.png" /><Relationship Type="http://schemas.openxmlformats.org/officeDocument/2006/relationships/image" Id="rId260" Target="media/rId260.png" /><Relationship Type="http://schemas.openxmlformats.org/officeDocument/2006/relationships/image" Id="rId140" Target="media/rId140.png" /><Relationship Type="http://schemas.openxmlformats.org/officeDocument/2006/relationships/image" Id="rId136" Target="media/rId136.png" /><Relationship Type="http://schemas.openxmlformats.org/officeDocument/2006/relationships/image" Id="rId132" Target="media/rId132.png" /><Relationship Type="http://schemas.openxmlformats.org/officeDocument/2006/relationships/image" Id="rId144" Target="media/rId144.png" /><Relationship Type="http://schemas.openxmlformats.org/officeDocument/2006/relationships/image" Id="rId270" Target="media/rId270.png" /><Relationship Type="http://schemas.openxmlformats.org/officeDocument/2006/relationships/image" Id="rId104" Target="media/rId104.png" /><Relationship Type="http://schemas.openxmlformats.org/officeDocument/2006/relationships/image" Id="rId127" Target="media/rId127.png" /><Relationship Type="http://schemas.openxmlformats.org/officeDocument/2006/relationships/image" Id="rId81" Target="media/rId81.png" /><Relationship Type="http://schemas.openxmlformats.org/officeDocument/2006/relationships/image" Id="rId76" Target="media/rId76.png" /><Relationship Type="http://schemas.openxmlformats.org/officeDocument/2006/relationships/image" Id="rId332" Target="media/rId332.png" /><Relationship Type="http://schemas.openxmlformats.org/officeDocument/2006/relationships/image" Id="rId306" Target="media/rId306.png" /><Relationship Type="http://schemas.openxmlformats.org/officeDocument/2006/relationships/image" Id="rId302" Target="media/rId302.png" /><Relationship Type="http://schemas.openxmlformats.org/officeDocument/2006/relationships/image" Id="rId298" Target="media/rId298.png" /><Relationship Type="http://schemas.openxmlformats.org/officeDocument/2006/relationships/image" Id="rId310" Target="media/rId310.png" /><Relationship Type="http://schemas.openxmlformats.org/officeDocument/2006/relationships/image" Id="rId276" Target="media/rId276.png" /><Relationship Type="http://schemas.openxmlformats.org/officeDocument/2006/relationships/image" Id="rId289" Target="media/rId289.png" /><Relationship Type="http://schemas.openxmlformats.org/officeDocument/2006/relationships/image" Id="rId285" Target="media/rId285.png" /><Relationship Type="http://schemas.openxmlformats.org/officeDocument/2006/relationships/image" Id="rId281" Target="media/rId281.png" /><Relationship Type="http://schemas.openxmlformats.org/officeDocument/2006/relationships/image" Id="rId293" Target="media/rId293.png" /><Relationship Type="http://schemas.openxmlformats.org/officeDocument/2006/relationships/image" Id="rId323" Target="media/rId323.png" /><Relationship Type="http://schemas.openxmlformats.org/officeDocument/2006/relationships/image" Id="rId319" Target="media/rId319.png" /><Relationship Type="http://schemas.openxmlformats.org/officeDocument/2006/relationships/image" Id="rId315" Target="media/rId315.png" /><Relationship Type="http://schemas.openxmlformats.org/officeDocument/2006/relationships/image" Id="rId327" Target="media/rId327.png" /><Relationship Type="http://schemas.openxmlformats.org/officeDocument/2006/relationships/image" Id="rId38" Target="media/rId38.png" /><Relationship Type="http://schemas.openxmlformats.org/officeDocument/2006/relationships/image" Id="rId47" Target="media/rId47.png" /><Relationship Type="http://schemas.openxmlformats.org/officeDocument/2006/relationships/image" Id="rId56" Target="media/rId56.png" /><Relationship Type="http://schemas.openxmlformats.org/officeDocument/2006/relationships/image" Id="rId65" Target="media/rId65.png" /><Relationship Type="http://schemas.openxmlformats.org/officeDocument/2006/relationships/image" Id="rId34" Target="media/rId34.png" /><Relationship Type="http://schemas.openxmlformats.org/officeDocument/2006/relationships/image" Id="rId43" Target="media/rId43.png" /><Relationship Type="http://schemas.openxmlformats.org/officeDocument/2006/relationships/image" Id="rId52" Target="media/rId52.png" /><Relationship Type="http://schemas.openxmlformats.org/officeDocument/2006/relationships/image" Id="rId61" Target="media/rId61.png" /><Relationship Type="http://schemas.openxmlformats.org/officeDocument/2006/relationships/image" Id="rId23" Target="media/rId23.png" /><Relationship Type="http://schemas.openxmlformats.org/officeDocument/2006/relationships/image" Id="rId28" Target="media/rId28.png" /><Relationship Type="http://schemas.openxmlformats.org/officeDocument/2006/relationships/hyperlink" Id="rId352" Target="https://doi.org/10.1002/bimj.202100322" TargetMode="External" /><Relationship Type="http://schemas.openxmlformats.org/officeDocument/2006/relationships/hyperlink" Id="rId342" Target="https://doi.org/10.1111/2041-210X.12983" TargetMode="External" /><Relationship Type="http://schemas.openxmlformats.org/officeDocument/2006/relationships/hyperlink" Id="rId350" Target="https://doi.org/10.1111/j.1467-9868.2008.00700.x" TargetMode="External" /><Relationship Type="http://schemas.openxmlformats.org/officeDocument/2006/relationships/hyperlink" Id="rId346" Target="https://doi.org/10.1111/j.1467-9868.2011.00777.x" TargetMode="External" /><Relationship Type="http://schemas.openxmlformats.org/officeDocument/2006/relationships/hyperlink" Id="rId348" Target="https://doi.org/10.1111/j.1600-0587.2009.06039.x" TargetMode="External" /><Relationship Type="http://schemas.openxmlformats.org/officeDocument/2006/relationships/hyperlink" Id="rId22" Target="https://open.canada.ca/data/fr/dataset/1989de32-bc5d-c696-879c-54d422438e64" TargetMode="External" /><Relationship Type="http://schemas.openxmlformats.org/officeDocument/2006/relationships/hyperlink" Id="rId27" Target="https://open.canada.ca/data/fr/dataset/40381c35-4849-4f17-a8f3-707aa6a53a9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52" Target="https://doi.org/10.1002/bimj.202100322" TargetMode="External" /><Relationship Type="http://schemas.openxmlformats.org/officeDocument/2006/relationships/hyperlink" Id="rId342" Target="https://doi.org/10.1111/2041-210X.12983" TargetMode="External" /><Relationship Type="http://schemas.openxmlformats.org/officeDocument/2006/relationships/hyperlink" Id="rId350" Target="https://doi.org/10.1111/j.1467-9868.2008.00700.x" TargetMode="External" /><Relationship Type="http://schemas.openxmlformats.org/officeDocument/2006/relationships/hyperlink" Id="rId346" Target="https://doi.org/10.1111/j.1467-9868.2011.00777.x" TargetMode="External" /><Relationship Type="http://schemas.openxmlformats.org/officeDocument/2006/relationships/hyperlink" Id="rId348" Target="https://doi.org/10.1111/j.1600-0587.2009.06039.x" TargetMode="External" /><Relationship Type="http://schemas.openxmlformats.org/officeDocument/2006/relationships/hyperlink" Id="rId22" Target="https://open.canada.ca/data/fr/dataset/1989de32-bc5d-c696-879c-54d422438e64" TargetMode="External" /><Relationship Type="http://schemas.openxmlformats.org/officeDocument/2006/relationships/hyperlink" Id="rId27" Target="https://open.canada.ca/data/fr/dataset/40381c35-4849-4f17-a8f3-707aa6a53a9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Identification des habitats potentiels des plumes de mer dans l’estuaire maritime et le golfe du Saint-Laurent</dc:title>
  <dc:creator>Vincent Bellavance</dc:creator>
  <cp:keywords/>
  <dcterms:created xsi:type="dcterms:W3CDTF">2023-03-17T12:23:44Z</dcterms:created>
  <dcterms:modified xsi:type="dcterms:W3CDTF">2023-03-17T12:23:44Z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3/17/23</vt:lpwstr>
  </property>
  <property fmtid="{D5CDD505-2E9C-101B-9397-08002B2CF9AE}" pid="9" name="fig-cap-location">
    <vt:lpwstr>margin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oc-title">
    <vt:lpwstr>Table of contents</vt:lpwstr>
  </property>
  <property fmtid="{D5CDD505-2E9C-101B-9397-08002B2CF9AE}" pid="15" name="website">
    <vt:lpwstr/>
  </property>
</Properties>
</file>